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827"/>
        <w:gridCol w:w="5202"/>
        <w:gridCol w:w="216"/>
        <w:gridCol w:w="216"/>
        <w:gridCol w:w="3995"/>
      </w:tblGrid>
      <w:tr w:rsidR="00A17AE4" w:rsidTr="00E67A04"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00E67A04"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00E67A04"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5B4672" w14:paraId="4F9450A3" w14:textId="13776391">
            <w:r>
              <w:rPr>
                <w:lang w:val="it-IT"/>
              </w:rPr>
              <w:t>Beccar Varela</w:t>
            </w:r>
            <w:r w:rsidRPr="00960D32" w:rsidR="00960D32">
              <w:t> </w:t>
            </w:r>
          </w:p>
        </w:tc>
      </w:tr>
      <w:tr w:rsidR="00093CA9" w:rsidTr="00E67A04"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00E67A04"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5B4672" w14:paraId="624F8F71" w14:textId="4EEBEEAC">
            <w:r>
              <w:t>Argentina</w:t>
            </w:r>
          </w:p>
        </w:tc>
      </w:tr>
      <w:tr w:rsidRPr="00E50B13" w:rsidR="00093CA9" w:rsidTr="00E67A04"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0E67A04"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960D32" w:rsidR="00093CA9" w:rsidP="002C22F1" w:rsidRDefault="006036EA" w14:paraId="313A697B" w14:textId="60530F75">
            <w:pPr>
              <w:spacing w:before="0" w:after="0"/>
              <w:rPr>
                <w:rFonts w:cstheme="minorHAnsi"/>
                <w:color w:val="333333"/>
              </w:rPr>
            </w:pPr>
            <w:r w:rsidRPr="006036EA">
              <w:rPr>
                <w:rFonts w:cstheme="minorHAnsi"/>
                <w:color w:val="333333"/>
              </w:rPr>
              <w:t>Resolution 385/2023 - National Strategy for the Use of Carbon Markets (</w:t>
            </w:r>
            <w:proofErr w:type="spellStart"/>
            <w:r w:rsidRPr="006036EA">
              <w:rPr>
                <w:rFonts w:cstheme="minorHAnsi"/>
                <w:color w:val="333333"/>
              </w:rPr>
              <w:t>Resolución</w:t>
            </w:r>
            <w:proofErr w:type="spellEnd"/>
            <w:r w:rsidRPr="006036EA">
              <w:rPr>
                <w:rFonts w:cstheme="minorHAnsi"/>
                <w:color w:val="333333"/>
              </w:rPr>
              <w:t xml:space="preserve"> 358/2023 - </w:t>
            </w:r>
            <w:proofErr w:type="spellStart"/>
            <w:r w:rsidRPr="006036EA">
              <w:rPr>
                <w:rFonts w:cstheme="minorHAnsi"/>
                <w:color w:val="333333"/>
              </w:rPr>
              <w:t>Estrategia</w:t>
            </w:r>
            <w:proofErr w:type="spellEnd"/>
            <w:r w:rsidRPr="006036EA">
              <w:rPr>
                <w:rFonts w:cstheme="minorHAnsi"/>
                <w:color w:val="333333"/>
              </w:rPr>
              <w:t xml:space="preserve"> Nacional para </w:t>
            </w:r>
            <w:proofErr w:type="spellStart"/>
            <w:r w:rsidRPr="006036EA">
              <w:rPr>
                <w:rFonts w:cstheme="minorHAnsi"/>
                <w:color w:val="333333"/>
              </w:rPr>
              <w:t>el</w:t>
            </w:r>
            <w:proofErr w:type="spellEnd"/>
            <w:r w:rsidRPr="006036EA">
              <w:rPr>
                <w:rFonts w:cstheme="minorHAnsi"/>
                <w:color w:val="333333"/>
              </w:rPr>
              <w:t xml:space="preserve"> </w:t>
            </w:r>
            <w:proofErr w:type="spellStart"/>
            <w:r w:rsidRPr="006036EA">
              <w:rPr>
                <w:rFonts w:cstheme="minorHAnsi"/>
                <w:color w:val="333333"/>
              </w:rPr>
              <w:t>uso</w:t>
            </w:r>
            <w:proofErr w:type="spellEnd"/>
            <w:r w:rsidRPr="006036EA">
              <w:rPr>
                <w:rFonts w:cstheme="minorHAnsi"/>
                <w:color w:val="333333"/>
              </w:rPr>
              <w:t xml:space="preserve"> de </w:t>
            </w:r>
            <w:proofErr w:type="spellStart"/>
            <w:r w:rsidRPr="006036EA">
              <w:rPr>
                <w:rFonts w:cstheme="minorHAnsi"/>
                <w:color w:val="333333"/>
              </w:rPr>
              <w:t>los</w:t>
            </w:r>
            <w:proofErr w:type="spellEnd"/>
            <w:r w:rsidRPr="006036EA">
              <w:rPr>
                <w:rFonts w:cstheme="minorHAnsi"/>
                <w:color w:val="333333"/>
              </w:rPr>
              <w:t xml:space="preserve"> Mercados de </w:t>
            </w:r>
            <w:proofErr w:type="spellStart"/>
            <w:r w:rsidRPr="006036EA">
              <w:rPr>
                <w:rFonts w:cstheme="minorHAnsi"/>
                <w:color w:val="333333"/>
              </w:rPr>
              <w:t>Carbono</w:t>
            </w:r>
            <w:proofErr w:type="spellEnd"/>
            <w:r w:rsidRPr="006036EA">
              <w:rPr>
                <w:rFonts w:cstheme="minorHAnsi"/>
                <w:color w:val="333333"/>
              </w:rPr>
              <w:t>)</w:t>
            </w:r>
          </w:p>
        </w:tc>
      </w:tr>
      <w:tr w:rsidR="00093CA9" w:rsidTr="00E67A04"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0E67A04"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AF08FC" w14:paraId="1523C232" w14:textId="198B3EDE">
            <w:hyperlink w:history="1" r:id="rId17">
              <w:r w:rsidRPr="0015648B">
                <w:rPr>
                  <w:rStyle w:val="Hipervnculo"/>
                </w:rPr>
                <w:t>https://web.archive.org/web/20250701150223/https://www.boletinoficial.gob.ar/detalleAviso/primera/298356/20231114</w:t>
              </w:r>
            </w:hyperlink>
            <w:r>
              <w:t xml:space="preserve"> </w:t>
            </w:r>
          </w:p>
        </w:tc>
      </w:tr>
      <w:tr w:rsidRPr="005A2023" w:rsidR="00093CA9" w:rsidTr="00E67A04"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0E67A04"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4DA7FE74"/>
        </w:tc>
      </w:tr>
      <w:tr w:rsidR="00093CA9" w:rsidTr="00E67A04"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426048AF"/>
        </w:tc>
      </w:tr>
      <w:tr w:rsidR="00093CA9" w:rsidTr="00E67A04"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00E67A04"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6036EA" w14:paraId="676670DF" w14:textId="1C21A0D5">
            <w:r>
              <w:t>X</w:t>
            </w:r>
          </w:p>
        </w:tc>
      </w:tr>
      <w:tr w:rsidR="00093CA9" w:rsidTr="00E67A04"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7ED969AE"/>
        </w:tc>
      </w:tr>
      <w:tr w:rsidR="00093CA9" w:rsidTr="00E67A04"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6D84D664"/>
        </w:tc>
      </w:tr>
      <w:tr w:rsidR="00093CA9" w:rsidTr="00E67A04"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00093CA9" w14:paraId="1ACD74F3" w14:textId="320C4EF5">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Pr="008C07E1" w:rsidR="00FE081A">
              <w:rPr>
                <w:rFonts w:eastAsia="Times New Roman" w:cstheme="minorHAnsi"/>
                <w:b/>
                <w:bCs/>
                <w:color w:val="7030A0"/>
                <w:kern w:val="0"/>
                <w:lang w:val="en-SG" w:eastAsia="en-GB"/>
                <w14:ligatures w14:val="none"/>
              </w:rPr>
              <w:t>tool</w:t>
            </w:r>
            <w:r w:rsidRPr="00FE081A" w:rsidR="00FE081A">
              <w:rPr>
                <w:rFonts w:eastAsia="Times New Roman" w:cstheme="minorHAnsi"/>
                <w:color w:val="000000" w:themeColor="text1"/>
                <w:kern w:val="0"/>
                <w:lang w:val="en-SG" w:eastAsia="en-GB"/>
                <w14:ligatures w14:val="none"/>
              </w:rPr>
              <w:t>‘</w:t>
            </w:r>
            <w:proofErr w:type="gramEnd"/>
            <w:r w:rsidRPr="00FE081A" w:rsid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rsidR="00093CA9" w:rsidP="00093CA9" w:rsidRDefault="00093CA9" w14:paraId="570C4CB1" w14:textId="77777777"/>
          <w:p w:rsidR="00093CA9" w:rsidP="00093CA9" w:rsidRDefault="00093CA9" w14:paraId="0DE707E8" w14:textId="77777777">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Tr="00E67A04"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1E27A9" w:rsidRDefault="00B12C1C" w14:paraId="18257824" w14:textId="6FD7A01F">
            <w:r w:rsidRPr="00B12C1C">
              <w:t xml:space="preserve">The policy tool </w:t>
            </w:r>
            <w:r w:rsidRPr="00A835C0" w:rsidR="00A835C0">
              <w:t xml:space="preserve">aims to promote the implementation of carbon markets as one of the carbon pricing mechanisms to contribute to compliance with </w:t>
            </w:r>
            <w:r w:rsidR="00A835C0">
              <w:t>t</w:t>
            </w:r>
            <w:r w:rsidR="001E27A9">
              <w:t>he objective of meeting international climate goals, promoting climate change mitigation and adaptation, and fostering sustainable development. It seeks to regulate and promote transparency, accountability and effective implementation of carbon market mechanisms to support Argentina's commitments towards emission neutrality and resilient development.</w:t>
            </w:r>
          </w:p>
        </w:tc>
      </w:tr>
      <w:tr w:rsidR="00093CA9" w:rsidTr="00E67A04"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0E67A04"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5337AC" w14:paraId="54354EEF" w14:textId="08E6AF27">
            <w:r>
              <w:t>X</w:t>
            </w:r>
          </w:p>
        </w:tc>
      </w:tr>
      <w:tr w:rsidR="00093CA9" w:rsidTr="00E67A04"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00E67A04"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00E67A04"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00E67A04"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00E67A04"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00E67A04"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00E67A04"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00E67A04"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0E67A04"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FE573F" w14:paraId="22A2FF1A" w14:textId="2CF42662">
            <w:pPr>
              <w:rPr>
                <w:color w:val="000000" w:themeColor="text1"/>
              </w:rPr>
            </w:pPr>
            <w:r>
              <w:rPr>
                <w:color w:val="000000" w:themeColor="text1"/>
              </w:rPr>
              <w:t>2023</w:t>
            </w:r>
          </w:p>
        </w:tc>
      </w:tr>
      <w:tr w:rsidR="00093CA9" w:rsidTr="00E67A04"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0E67A04"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093CA9" w14:paraId="5AD2325B" w14:textId="77777777">
            <w:pPr>
              <w:rPr>
                <w:color w:val="000000" w:themeColor="text1"/>
              </w:rPr>
            </w:pPr>
          </w:p>
        </w:tc>
      </w:tr>
      <w:tr w:rsidR="00093CA9" w:rsidTr="00E67A04"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0E67A04"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00E67A04"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0E67A04"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00E67A04" w14:paraId="0BDEA28A" w14:textId="77777777">
        <w:tc>
          <w:tcPr>
            <w:tcW w:w="1063" w:type="dxa"/>
            <w:vAlign w:val="center"/>
          </w:tcPr>
          <w:p w:rsidRPr="00BA1D39" w:rsidR="00093CA9" w:rsidP="00093CA9" w:rsidRDefault="00093CA9" w14:paraId="2B1BB6DA" w14:textId="77777777">
            <w:pPr>
              <w:rPr>
                <w:b/>
                <w:bCs/>
              </w:rPr>
            </w:pPr>
            <w:r w:rsidRPr="00BA1D39">
              <w:rPr>
                <w:b/>
                <w:bCs/>
              </w:rPr>
              <w:lastRenderedPageBreak/>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0E67A04"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C67CA4" w14:paraId="7961F236" w14:textId="627CF76A">
            <w:r w:rsidRPr="00C67CA4">
              <w:t>Former Ministry of Environment and Sustainable Development of the Nation (</w:t>
            </w:r>
            <w:proofErr w:type="spellStart"/>
            <w:r w:rsidRPr="00C67CA4">
              <w:t>MAyDS</w:t>
            </w:r>
            <w:proofErr w:type="spellEnd"/>
            <w:r w:rsidRPr="00C67CA4">
              <w:t>), current Undersecretary of Environment of the Nation.</w:t>
            </w:r>
          </w:p>
        </w:tc>
      </w:tr>
      <w:tr w:rsidRPr="006B7B0D" w:rsidR="00093CA9" w:rsidTr="00E67A04"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0E67A04"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C67CA4" w14:paraId="58D97C26" w14:textId="4643C76C">
            <w:r w:rsidRPr="00C67CA4">
              <w:t>Former Ministry of Environment and Sustainable Development of the Nation (</w:t>
            </w:r>
            <w:proofErr w:type="spellStart"/>
            <w:r w:rsidRPr="00C67CA4">
              <w:t>MAyDS</w:t>
            </w:r>
            <w:proofErr w:type="spellEnd"/>
            <w:r w:rsidRPr="00C67CA4">
              <w:t>), current Undersecretary of Environment of the Nation.</w:t>
            </w:r>
          </w:p>
        </w:tc>
      </w:tr>
      <w:tr w:rsidRPr="006B7B0D" w:rsidR="00093CA9" w:rsidTr="00E67A04"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5E2980F8">
            <w:r w:rsidRPr="006B7B0D">
              <w:t>To provide contextual information, indicate the extent to whic</w:t>
            </w:r>
            <w:r w:rsidR="00C5221C">
              <w:t>h</w:t>
            </w:r>
            <w:r w:rsidRPr="006B7B0D">
              <w:t xml:space="preserve"> this authority is perceived as having the capacity to undertake this work. Select the appropriate response using an X.</w:t>
            </w:r>
          </w:p>
        </w:tc>
      </w:tr>
      <w:tr w:rsidRPr="006B7B0D" w:rsidR="00093CA9" w:rsidTr="00E67A04"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00E67A04"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00E67A04"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C5221C" w14:paraId="58B179CC" w14:textId="79457FBC">
            <w:r>
              <w:t>X</w:t>
            </w:r>
          </w:p>
        </w:tc>
      </w:tr>
      <w:tr w:rsidRPr="006B7B0D" w:rsidR="00093CA9" w:rsidTr="00E67A04"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093CA9" w14:paraId="6DCCE4F4" w14:textId="77777777"/>
        </w:tc>
      </w:tr>
      <w:tr w:rsidRPr="006B7B0D" w:rsidR="00093CA9" w:rsidTr="00E67A04"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0E67A04"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00E67A04"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00E67A04" w14:paraId="5D361E78" w14:textId="77777777">
        <w:trPr>
          <w:trHeight w:val="63"/>
        </w:trPr>
        <w:tc>
          <w:tcPr>
            <w:tcW w:w="1063" w:type="dxa"/>
            <w:vAlign w:val="center"/>
          </w:tcPr>
          <w:p w:rsidRPr="006B7B0D" w:rsidR="00093CA9" w:rsidP="00093CA9" w:rsidRDefault="00093CA9" w14:paraId="2A9FB383" w14:textId="77777777">
            <w:r w:rsidRPr="006B7B0D">
              <w:lastRenderedPageBreak/>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00E67A04"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00E67A04"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00E67A04"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00E67A04"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00E67A04"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00E67A04"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00E67A04"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00E67A04"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00E67A04"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0E67A04"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00E67A04"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00E67A04" w14:paraId="2ED25454" w14:textId="77777777">
        <w:trPr>
          <w:trHeight w:val="63"/>
        </w:trPr>
        <w:tc>
          <w:tcPr>
            <w:tcW w:w="1063" w:type="dxa"/>
            <w:vAlign w:val="center"/>
          </w:tcPr>
          <w:p w:rsidRPr="006B7B0D" w:rsidR="00093CA9" w:rsidP="00093CA9" w:rsidRDefault="00093CA9" w14:paraId="6FC23CEF" w14:textId="77777777">
            <w:r w:rsidRPr="006B7B0D">
              <w:lastRenderedPageBreak/>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00E67A04"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00E67A04"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00E67A04"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00E67A04"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00E67A04"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00E67A04"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00E67A04"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00E67A04"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00E67A04"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00E67A04"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357E59" w14:paraId="42D06D03" w14:textId="7C883097">
            <w:r>
              <w:t>The f</w:t>
            </w:r>
            <w:r w:rsidRPr="00C67CA4">
              <w:t xml:space="preserve">ormer </w:t>
            </w:r>
            <w:proofErr w:type="spellStart"/>
            <w:r>
              <w:t>MAyDS</w:t>
            </w:r>
            <w:proofErr w:type="spellEnd"/>
            <w:r>
              <w:t>,</w:t>
            </w:r>
            <w:r w:rsidRPr="00C67CA4">
              <w:t xml:space="preserve"> current Undersecretary of Environment of the Nation</w:t>
            </w:r>
            <w:r>
              <w:t>,</w:t>
            </w:r>
            <w:r w:rsidR="0021445F">
              <w:t xml:space="preserve"> is the authority responsible for overseeing implementation and/or enforcement</w:t>
            </w:r>
            <w:r w:rsidRPr="00357E59">
              <w:t xml:space="preserve"> </w:t>
            </w:r>
            <w:r w:rsidRPr="00357E59">
              <w:t>of Law No. 27,52</w:t>
            </w:r>
            <w:r>
              <w:t>0 and climate regulations</w:t>
            </w:r>
            <w:r w:rsidRPr="00357E59">
              <w:t xml:space="preserve">. The regulation establishes that the </w:t>
            </w:r>
            <w:r w:rsidRPr="00357E59" w:rsidR="0021445F">
              <w:t xml:space="preserve">Secretariat </w:t>
            </w:r>
            <w:r w:rsidR="0021445F">
              <w:t>o</w:t>
            </w:r>
            <w:r w:rsidRPr="00357E59" w:rsidR="0021445F">
              <w:t xml:space="preserve">f Climate Change, Sustainable Development </w:t>
            </w:r>
            <w:r w:rsidR="0021445F">
              <w:t>a</w:t>
            </w:r>
            <w:r w:rsidRPr="00357E59" w:rsidR="0021445F">
              <w:t xml:space="preserve">nd Innovation, </w:t>
            </w:r>
            <w:r w:rsidRPr="00357E59">
              <w:t xml:space="preserve">belonging to the former Ministry, </w:t>
            </w:r>
            <w:proofErr w:type="gramStart"/>
            <w:r w:rsidRPr="00357E59">
              <w:t>is in charge of</w:t>
            </w:r>
            <w:proofErr w:type="gramEnd"/>
            <w:r w:rsidRPr="00357E59">
              <w:t xml:space="preserve"> promoting the necessary actions and processes for the implementation of the policy tool, in coordination with the provincial jurisdictions. However, this Secretariat has disappeared due to the organizational reform of the State carried out by the current government, for which reason it is assumed that the authority in charge is the National Undersecretariat of the Environment, in coordination with the provincial authorities in their respective territories.</w:t>
            </w:r>
          </w:p>
        </w:tc>
      </w:tr>
      <w:tr w:rsidR="00093CA9" w:rsidTr="00E67A04"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00E67A04" w14:paraId="619A4BF8" w14:textId="77777777">
        <w:trPr>
          <w:trHeight w:val="57"/>
        </w:trPr>
        <w:tc>
          <w:tcPr>
            <w:tcW w:w="1063" w:type="dxa"/>
            <w:vAlign w:val="center"/>
          </w:tcPr>
          <w:p w:rsidR="00093CA9" w:rsidP="00093CA9" w:rsidRDefault="00093CA9" w14:paraId="374B9AE4" w14:textId="77777777">
            <w:r>
              <w:lastRenderedPageBreak/>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00E67A04"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9C22FE" w14:paraId="54F7EBC8" w14:textId="1CE4897B">
            <w:r>
              <w:t>X</w:t>
            </w:r>
          </w:p>
        </w:tc>
      </w:tr>
      <w:tr w:rsidR="00093CA9" w:rsidTr="00E67A04"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00E67A04"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F3700B" w14:paraId="2C2128DB" w14:textId="5CCA8F56">
            <w:pPr>
              <w:keepNext/>
              <w:rPr>
                <w:color w:val="000000" w:themeColor="text1"/>
              </w:rPr>
            </w:pPr>
            <w:r w:rsidRPr="00F3700B">
              <w:rPr>
                <w:color w:val="000000" w:themeColor="text1"/>
              </w:rPr>
              <w:t>A robust and transparent Monitoring, Reporting and Verification (MRV) system will be implemented, linked to the National Registry of Climate Change Mitigation Projects (</w:t>
            </w:r>
            <w:proofErr w:type="spellStart"/>
            <w:r w:rsidRPr="00F3700B">
              <w:rPr>
                <w:color w:val="000000" w:themeColor="text1"/>
              </w:rPr>
              <w:t>ReNaMi</w:t>
            </w:r>
            <w:proofErr w:type="spellEnd"/>
            <w:r w:rsidRPr="00F3700B">
              <w:rPr>
                <w:color w:val="000000" w:themeColor="text1"/>
              </w:rPr>
              <w:t>), the National Climate Change Information System and the National Greenhouse Gas Inventory System (SNI-GEI-AR).</w:t>
            </w:r>
            <w:r>
              <w:rPr>
                <w:color w:val="000000" w:themeColor="text1"/>
              </w:rPr>
              <w:t xml:space="preserve"> Stated in the </w:t>
            </w:r>
            <w:r w:rsidRPr="00F3700B">
              <w:rPr>
                <w:color w:val="000000" w:themeColor="text1"/>
              </w:rPr>
              <w:t>Monitoring, Reporting and Verification (MRV)</w:t>
            </w:r>
            <w:r>
              <w:rPr>
                <w:color w:val="000000" w:themeColor="text1"/>
              </w:rPr>
              <w:t xml:space="preserve"> section of the policy tool.</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1074231B"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1074231B"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1074231B"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4A01E4" w14:paraId="38FE491C" w14:textId="3731D28B">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1074231B"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4A01E4" w14:paraId="2EBF25E0" w14:textId="0D66E48F">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1074231B"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4A01E4" w14:paraId="5824835F" w14:textId="3F5B060F">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1074231B"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4663FD" w14:paraId="550F0882" w14:textId="369A610E">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1074231B"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4663FD" w14:paraId="45D2C527" w14:textId="5B8A311F">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1074231B"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4663FD" w14:paraId="2C6A5022" w14:textId="5F8B66B3">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1074231B"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4663FD" w14:paraId="5D138A68" w14:textId="01EFC536">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51B18F60" w14:textId="77777777">
            <w:pPr>
              <w:rPr>
                <w:rFonts w:ascii="Calibri" w:hAnsi="Calibri" w:cs="Calibri"/>
              </w:rPr>
            </w:pPr>
          </w:p>
        </w:tc>
      </w:tr>
      <w:tr w:rsidRPr="00CF2E7C" w:rsidR="00D4323A" w:rsidTr="1074231B"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4663FD" w14:paraId="35A8F84B" w14:textId="666D5679">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1074231B"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4663FD" w14:paraId="1E0471B3" w14:textId="0B9B4019">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1074231B"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4663FD" w14:paraId="12DE1980" w14:textId="5DF6A4EB">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1074231B"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4663FD" w14:paraId="63318504" w14:textId="5A21C128">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1074231B"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4663FD" w14:paraId="1BB569F7" w14:textId="5BFC0A0D">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1074231B"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4663FD" w14:paraId="16E1C93C" w14:textId="6F1A6B7D">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1074231B"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1074231B"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CF2E7C" w:rsidR="00092534" w:rsidP="00CF2E7C" w:rsidRDefault="00120D6F" w14:paraId="2804699B" w14:textId="5C916934">
            <w:pPr>
              <w:rPr>
                <w:rFonts w:ascii="Calibri" w:hAnsi="Calibri" w:cs="Calibri"/>
              </w:rPr>
            </w:pPr>
            <w:r w:rsidRPr="00120D6F">
              <w:rPr>
                <w:rFonts w:ascii="Calibri" w:hAnsi="Calibri" w:cs="Calibri"/>
              </w:rPr>
              <w:t>The policy tool promotes coordination among all stakeholders involved in carbon market issues from the national government, subnational governments, the private sector and civil society. It is voluntary because we do not yet have a mandatory national standard in Argentina, the policy tool establishes guidelines that for now are recommendations.</w:t>
            </w:r>
          </w:p>
        </w:tc>
      </w:tr>
      <w:tr w:rsidRPr="00CF2E7C" w:rsidR="00092534" w:rsidTr="1074231B"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1074231B"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1074231B"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120D6F" w14:paraId="37BE9366" w14:textId="4AAEAEF7">
            <w:pPr>
              <w:rPr>
                <w:rFonts w:ascii="Calibri" w:hAnsi="Calibri" w:cs="Calibri"/>
              </w:rPr>
            </w:pPr>
            <w:r>
              <w:rPr>
                <w:rFonts w:ascii="Calibri" w:hAnsi="Calibri" w:cs="Calibri"/>
              </w:rPr>
              <w:t>X</w:t>
            </w: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1074231B"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120D6F" w14:paraId="0855EA0B" w14:textId="2A7B0E07">
            <w:pPr>
              <w:rPr>
                <w:rFonts w:ascii="Calibri" w:hAnsi="Calibri" w:cs="Calibri"/>
              </w:rPr>
            </w:pPr>
            <w:r>
              <w:rPr>
                <w:rFonts w:ascii="Calibri" w:hAnsi="Calibri" w:cs="Calibri"/>
              </w:rPr>
              <w:t>X</w:t>
            </w: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1074231B"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120D6F" w14:paraId="7CD111D3" w14:textId="4DD5E348">
            <w:pPr>
              <w:rPr>
                <w:rFonts w:ascii="Calibri" w:hAnsi="Calibri" w:cs="Calibri"/>
              </w:rPr>
            </w:pPr>
            <w:r>
              <w:rPr>
                <w:rFonts w:ascii="Calibri" w:hAnsi="Calibri" w:cs="Calibri"/>
              </w:rPr>
              <w:t>X</w:t>
            </w: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1074231B"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120D6F" w14:paraId="5CDE12B8" w14:textId="217D189A">
            <w:pPr>
              <w:rPr>
                <w:rFonts w:ascii="Calibri" w:hAnsi="Calibri" w:cs="Calibri"/>
              </w:rPr>
            </w:pPr>
            <w:r>
              <w:rPr>
                <w:rFonts w:ascii="Calibri" w:hAnsi="Calibri" w:cs="Calibri"/>
              </w:rPr>
              <w:t>X</w:t>
            </w: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1074231B"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120D6F" w14:paraId="167C63D4" w14:textId="57257E72">
            <w:pPr>
              <w:rPr>
                <w:rFonts w:ascii="Calibri" w:hAnsi="Calibri" w:cs="Calibri"/>
              </w:rPr>
            </w:pPr>
            <w:r>
              <w:rPr>
                <w:rFonts w:ascii="Calibri" w:hAnsi="Calibri" w:cs="Calibri"/>
              </w:rPr>
              <w:t>X</w:t>
            </w: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1074231B"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1074231B"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1074231B"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1074231B"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1074231B"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1074231B"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1074231B"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1074231B"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1074231B"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1074231B"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1074231B"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1074231B"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1074231B"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1074231B"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1074231B"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1074231B"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1074231B"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1074231B"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1074231B"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1074231B"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1074231B"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1074231B"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1074231B"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1074231B"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1074231B"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1074231B"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1074231B"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1074231B"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1074231B"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1074231B"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1074231B"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1074231B"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1074231B"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1074231B"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1074231B"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EB7FED" w:rsidR="00092534" w:rsidTr="1074231B"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1074231B"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1074231B"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1074231B"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77777777">
            <w:pPr>
              <w:rPr>
                <w:rFonts w:ascii="Calibri" w:hAnsi="Calibri" w:cs="Calibri"/>
              </w:rPr>
            </w:pPr>
          </w:p>
        </w:tc>
      </w:tr>
      <w:tr w:rsidRPr="00CF2E7C" w:rsidR="00092534" w:rsidTr="1074231B"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1074231B"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1074231B"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5C0040" w14:paraId="0FBA80A1" w14:textId="40C037E6">
            <w:pPr>
              <w:rPr>
                <w:rFonts w:ascii="Calibri" w:hAnsi="Calibri" w:cs="Calibri"/>
              </w:rPr>
            </w:pPr>
            <w:r>
              <w:rPr>
                <w:rFonts w:ascii="Calibri" w:hAnsi="Calibri" w:cs="Calibri"/>
              </w:rPr>
              <w:t>X</w:t>
            </w:r>
          </w:p>
        </w:tc>
      </w:tr>
      <w:tr w:rsidRPr="00CF2E7C" w:rsidR="00092534" w:rsidTr="1074231B"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1074231B"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1074231B"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00DB74CC" w14:paraId="15F1E6AC" w14:textId="7EEE9641">
            <w:pPr>
              <w:rPr>
                <w:rFonts w:ascii="Calibri" w:hAnsi="Calibri" w:cs="Calibri"/>
              </w:rPr>
            </w:pPr>
            <w:r w:rsidRPr="00DB74CC">
              <w:rPr>
                <w:rFonts w:ascii="Calibri" w:hAnsi="Calibri" w:cs="Calibri"/>
              </w:rPr>
              <w:t xml:space="preserve">For </w:t>
            </w:r>
            <w:proofErr w:type="gramStart"/>
            <w:r w:rsidRPr="00DB74CC">
              <w:rPr>
                <w:rFonts w:ascii="Calibri" w:hAnsi="Calibri" w:cs="Calibri"/>
              </w:rPr>
              <w:t>now</w:t>
            </w:r>
            <w:proofErr w:type="gramEnd"/>
            <w:r w:rsidRPr="00DB74CC">
              <w:rPr>
                <w:rFonts w:ascii="Calibri" w:hAnsi="Calibri" w:cs="Calibri"/>
              </w:rPr>
              <w:t xml:space="preserve"> it is voluntary for all entities because we still do not have a mandatory national standard in Argentina, the policy tool establishes guidelines that for now are recommendations.</w:t>
            </w:r>
          </w:p>
        </w:tc>
      </w:tr>
      <w:tr w:rsidRPr="00CF2E7C" w:rsidR="00092534" w:rsidTr="1074231B"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1074231B"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1074231B"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1074231B"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1074231B"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1074231B"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1074231B"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1074231B"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1074231B"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1074231B"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A81912" w14:paraId="71E60CE5" w14:textId="0101EB76">
            <w:pPr>
              <w:rPr>
                <w:rFonts w:ascii="Calibri" w:hAnsi="Calibri" w:cs="Calibri"/>
              </w:rPr>
            </w:pPr>
            <w:r>
              <w:rPr>
                <w:rFonts w:ascii="Calibri" w:hAnsi="Calibri" w:cs="Calibri"/>
              </w:rPr>
              <w:t>X</w:t>
            </w:r>
          </w:p>
        </w:tc>
      </w:tr>
      <w:tr w:rsidRPr="00CF2E7C" w:rsidR="00DB1E72" w:rsidTr="1074231B"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1074231B"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1074231B"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DB1E72" w:rsidP="00CF2E7C" w:rsidRDefault="00DB1E72" w14:paraId="7CC5C002" w14:textId="77777777">
            <w:pPr>
              <w:rPr>
                <w:rFonts w:ascii="Calibri" w:hAnsi="Calibri" w:cs="Calibri"/>
              </w:rPr>
            </w:pPr>
          </w:p>
        </w:tc>
      </w:tr>
      <w:tr w:rsidRPr="00CF2E7C" w:rsidR="00092534" w:rsidTr="1074231B"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1074231B"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A81912" w14:paraId="48EDDE48" w14:textId="41B2AD0A" w14:noSpellErr="1">
            <w:pPr>
              <w:rPr>
                <w:rFonts w:ascii="Calibri" w:hAnsi="Calibri" w:cs="Calibri"/>
              </w:rPr>
            </w:pPr>
            <w:r w:rsidRPr="1074231B" w:rsidR="00A81912">
              <w:rPr>
                <w:rFonts w:ascii="Calibri" w:hAnsi="Calibri" w:cs="Calibri"/>
              </w:rPr>
              <w:t>X</w:t>
            </w:r>
          </w:p>
        </w:tc>
      </w:tr>
      <w:tr w:rsidRPr="00CF2E7C" w:rsidR="00092534" w:rsidTr="1074231B"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1074231B"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1074231B"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1074231B"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1074231B"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1074231B"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1074231B"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1074231B"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1074231B"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1074231B"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AD1992" w14:paraId="3259D289" w14:textId="38D20FB4" w14:noSpellErr="1">
            <w:pPr>
              <w:rPr>
                <w:rFonts w:ascii="Calibri" w:hAnsi="Calibri" w:cs="Calibri"/>
              </w:rPr>
            </w:pPr>
            <w:r w:rsidRPr="1074231B" w:rsidR="00AD1992">
              <w:rPr>
                <w:rFonts w:ascii="Calibri" w:hAnsi="Calibri" w:cs="Calibri"/>
              </w:rPr>
              <w:t>X</w:t>
            </w:r>
          </w:p>
        </w:tc>
      </w:tr>
      <w:tr w:rsidRPr="00CF2E7C" w:rsidR="00092534" w:rsidTr="1074231B"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1074231B"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1074231B"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31"/>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31"/>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C57E96" w14:paraId="3518A101" w14:textId="3640879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C57E96" w14:paraId="5840AB8D" w14:textId="649F26D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056B7E" w14:paraId="661D0397" w14:textId="1AA5812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056B7E" w14:paraId="61DE4191" w14:textId="5A59492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6A299A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606149">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5905DDA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606149">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115E9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606149">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606149" w14:paraId="7F0A2B29" w14:textId="50BEC5A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32"/>
      <w:r>
        <w:t xml:space="preserve">Section </w:t>
      </w:r>
      <w:r w:rsidR="00B20D58">
        <w:t>4</w:t>
      </w:r>
      <w:r>
        <w:t xml:space="preserve">.3: </w:t>
      </w:r>
      <w:r w:rsidRPr="009C4D10" w:rsidR="001C0769">
        <w:t>Governance of Carbon Credits</w:t>
      </w:r>
      <w:bookmarkEnd w:id="32"/>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609"/>
        <w:gridCol w:w="3966"/>
        <w:gridCol w:w="301"/>
        <w:gridCol w:w="1237"/>
        <w:gridCol w:w="291"/>
        <w:gridCol w:w="2231"/>
        <w:gridCol w:w="1815"/>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33"/>
            <w:bookmarkEnd w:id="33"/>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0407D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F1414">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02C2BE3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696F7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9F1414" w:rsidR="009F1414">
              <w:rPr>
                <w:rFonts w:ascii="Calibri" w:hAnsi="Calibri" w:eastAsia="Times New Roman" w:cs="Calibri"/>
                <w:kern w:val="0"/>
                <w:lang w:eastAsia="en-GB"/>
                <w14:ligatures w14:val="none"/>
              </w:rPr>
              <w:t>Mandatory use of the National Registry of Mitigation Projects (</w:t>
            </w:r>
            <w:proofErr w:type="spellStart"/>
            <w:r w:rsidRPr="009F1414" w:rsidR="009F1414">
              <w:rPr>
                <w:rFonts w:ascii="Calibri" w:hAnsi="Calibri" w:eastAsia="Times New Roman" w:cs="Calibri"/>
                <w:kern w:val="0"/>
                <w:lang w:eastAsia="en-GB"/>
                <w14:ligatures w14:val="none"/>
              </w:rPr>
              <w:t>ReNaMi</w:t>
            </w:r>
            <w:proofErr w:type="spellEnd"/>
            <w:r w:rsidRPr="009F1414" w:rsidR="009F1414">
              <w:rPr>
                <w:rFonts w:ascii="Calibri" w:hAnsi="Calibri" w:eastAsia="Times New Roman" w:cs="Calibri"/>
                <w:kern w:val="0"/>
                <w:lang w:eastAsia="en-GB"/>
                <w14:ligatures w14:val="none"/>
              </w:rPr>
              <w:t>) to avoid double counting and ensure transparency.</w:t>
            </w:r>
            <w:r w:rsidR="008B1D74">
              <w:rPr>
                <w:rFonts w:ascii="Calibri" w:hAnsi="Calibri" w:eastAsia="Times New Roman" w:cs="Calibri"/>
                <w:kern w:val="0"/>
                <w:lang w:eastAsia="en-GB"/>
                <w14:ligatures w14:val="none"/>
              </w:rPr>
              <w:t xml:space="preserve"> The </w:t>
            </w:r>
            <w:proofErr w:type="spellStart"/>
            <w:r w:rsidR="008B1D74">
              <w:rPr>
                <w:rFonts w:ascii="Calibri" w:hAnsi="Calibri" w:eastAsia="Times New Roman" w:cs="Calibri"/>
                <w:kern w:val="0"/>
                <w:lang w:eastAsia="en-GB"/>
                <w14:ligatures w14:val="none"/>
              </w:rPr>
              <w:t>ReNaMi</w:t>
            </w:r>
            <w:proofErr w:type="spellEnd"/>
            <w:r w:rsidR="008B1D74">
              <w:rPr>
                <w:rFonts w:ascii="Calibri" w:hAnsi="Calibri" w:eastAsia="Times New Roman" w:cs="Calibri"/>
                <w:kern w:val="0"/>
                <w:lang w:eastAsia="en-GB"/>
                <w14:ligatures w14:val="none"/>
              </w:rPr>
              <w:t xml:space="preserve"> </w:t>
            </w:r>
            <w:r w:rsidR="0026208E">
              <w:rPr>
                <w:rFonts w:ascii="Calibri" w:hAnsi="Calibri" w:eastAsia="Times New Roman" w:cs="Calibri"/>
                <w:kern w:val="0"/>
                <w:lang w:eastAsia="en-GB"/>
                <w14:ligatures w14:val="none"/>
              </w:rPr>
              <w:t>was approved by Resolution N</w:t>
            </w:r>
            <w:r w:rsidR="001D7B72">
              <w:rPr>
                <w:rFonts w:ascii="Calibri" w:hAnsi="Calibri" w:eastAsia="Times New Roman" w:cs="Calibri"/>
                <w:kern w:val="0"/>
                <w:lang w:eastAsia="en-GB"/>
                <w14:ligatures w14:val="none"/>
              </w:rPr>
              <w:t>o. 262/2021 (</w:t>
            </w:r>
            <w:hyperlink w:history="1" r:id="rId22">
              <w:r w:rsidRPr="0015648B" w:rsidR="001D7B72">
                <w:rPr>
                  <w:rStyle w:val="Hipervnculo"/>
                  <w:rFonts w:ascii="Calibri" w:hAnsi="Calibri" w:eastAsia="Times New Roman" w:cs="Calibri"/>
                  <w:kern w:val="0"/>
                  <w:lang w:eastAsia="en-GB"/>
                  <w14:ligatures w14:val="none"/>
                </w:rPr>
                <w:t>https://web.archive.org/web/20250701153212/https://www.argentina.gob.ar/normativa/nacional/resolución-363-2021-358905/texto</w:t>
              </w:r>
            </w:hyperlink>
            <w:r w:rsidR="001D7B72">
              <w:rPr>
                <w:rFonts w:ascii="Calibri" w:hAnsi="Calibri" w:eastAsia="Times New Roman" w:cs="Calibri"/>
                <w:kern w:val="0"/>
                <w:lang w:eastAsia="en-GB"/>
                <w14:ligatures w14:val="none"/>
              </w:rPr>
              <w:t>).</w:t>
            </w:r>
            <w:r w:rsidR="009F1414">
              <w:rPr>
                <w:rFonts w:ascii="Calibri" w:hAnsi="Calibri" w:eastAsia="Times New Roman" w:cs="Calibri"/>
                <w:kern w:val="0"/>
                <w:lang w:eastAsia="en-GB"/>
                <w14:ligatures w14:val="none"/>
              </w:rPr>
              <w:t xml:space="preserve"> Section </w:t>
            </w:r>
            <w:r w:rsidRPr="009F1414" w:rsidR="009F1414">
              <w:rPr>
                <w:rFonts w:ascii="Calibri" w:hAnsi="Calibri" w:eastAsia="Times New Roman" w:cs="Calibri"/>
                <w:kern w:val="0"/>
                <w:lang w:eastAsia="en-GB"/>
                <w14:ligatures w14:val="none"/>
              </w:rPr>
              <w:t>National Registry of Mitigation Projects (</w:t>
            </w:r>
            <w:proofErr w:type="spellStart"/>
            <w:r w:rsidRPr="009F1414" w:rsidR="009F1414">
              <w:rPr>
                <w:rFonts w:ascii="Calibri" w:hAnsi="Calibri" w:eastAsia="Times New Roman" w:cs="Calibri"/>
                <w:kern w:val="0"/>
                <w:lang w:eastAsia="en-GB"/>
                <w14:ligatures w14:val="none"/>
              </w:rPr>
              <w:t>ReNaMi</w:t>
            </w:r>
            <w:proofErr w:type="spellEnd"/>
            <w:r w:rsidRPr="009F1414" w:rsidR="009F1414">
              <w:rPr>
                <w:rFonts w:ascii="Calibri" w:hAnsi="Calibri" w:eastAsia="Times New Roman" w:cs="Calibri"/>
                <w:kern w:val="0"/>
                <w:lang w:eastAsia="en-GB"/>
                <w14:ligatures w14:val="none"/>
              </w:rPr>
              <w:t>)</w:t>
            </w:r>
            <w:r w:rsidR="009F1414">
              <w:rPr>
                <w:rFonts w:ascii="Calibri" w:hAnsi="Calibri" w:eastAsia="Times New Roman" w:cs="Calibri"/>
                <w:kern w:val="0"/>
                <w:lang w:eastAsia="en-GB"/>
                <w14:ligatures w14:val="none"/>
              </w:rPr>
              <w:t>.</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BF7DA0" w14:paraId="7EDB69D4" w14:textId="7606DDC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14FC7EE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A1CB1">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570E25F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0F2C0A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7F5B">
              <w:rPr>
                <w:rFonts w:ascii="Calibri" w:hAnsi="Calibri" w:eastAsia="Times New Roman" w:cs="Calibri"/>
                <w:kern w:val="0"/>
                <w:lang w:eastAsia="en-GB"/>
                <w14:ligatures w14:val="none"/>
              </w:rPr>
              <w:t>X</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67937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372A2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A45AD">
              <w:rPr>
                <w:rFonts w:ascii="Calibri" w:hAnsi="Calibri" w:eastAsia="Times New Roman" w:cs="Calibri"/>
                <w:kern w:val="0"/>
                <w:lang w:eastAsia="en-GB"/>
                <w14:ligatures w14:val="none"/>
              </w:rPr>
              <w:t>X</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3FA7E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161F08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D4169">
              <w:rPr>
                <w:rFonts w:ascii="Calibri" w:hAnsi="Calibri" w:eastAsia="Times New Roman" w:cs="Calibri"/>
                <w:kern w:val="0"/>
                <w:lang w:eastAsia="en-GB"/>
                <w14:ligatures w14:val="none"/>
              </w:rPr>
              <w:t>X</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278EC7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D4169">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2B8637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6540A8" w:rsidRDefault="00CB6041" w14:paraId="4878BF58" w14:textId="02A0DFE9">
            <w:pPr>
              <w:textAlignment w:val="baseline"/>
              <w:rPr>
                <w:rFonts w:ascii="Calibri" w:hAnsi="Calibri" w:eastAsia="Times New Roman" w:cs="Calibri"/>
                <w:kern w:val="0"/>
                <w:lang w:eastAsia="en-GB"/>
                <w14:ligatures w14:val="none"/>
              </w:rPr>
            </w:pPr>
            <w:r w:rsidRPr="00CB6041">
              <w:rPr>
                <w:rFonts w:ascii="Calibri" w:hAnsi="Calibri" w:eastAsia="Times New Roman" w:cs="Calibri"/>
                <w:kern w:val="0"/>
                <w:lang w:eastAsia="en-GB"/>
                <w14:ligatures w14:val="none"/>
              </w:rPr>
              <w:t>The policy tool establishes a framework to avoid double counting of carbon credits</w:t>
            </w:r>
            <w:r w:rsidR="006D4169">
              <w:rPr>
                <w:rFonts w:ascii="Calibri" w:hAnsi="Calibri" w:eastAsia="Times New Roman" w:cs="Calibri"/>
                <w:kern w:val="0"/>
                <w:lang w:eastAsia="en-GB"/>
                <w14:ligatures w14:val="none"/>
              </w:rPr>
              <w:t xml:space="preserve"> based on the</w:t>
            </w:r>
            <w:r w:rsidRPr="006540A8" w:rsidR="006540A8">
              <w:rPr>
                <w:rFonts w:ascii="Calibri" w:hAnsi="Calibri" w:eastAsia="Times New Roman" w:cs="Calibri"/>
                <w:kern w:val="0"/>
                <w:lang w:eastAsia="en-GB"/>
                <w14:ligatures w14:val="none"/>
              </w:rPr>
              <w:t xml:space="preserve"> National Registry of Climate Change Mitigation Project</w:t>
            </w:r>
            <w:r w:rsidR="006540A8">
              <w:rPr>
                <w:rFonts w:ascii="Calibri" w:hAnsi="Calibri" w:eastAsia="Times New Roman" w:cs="Calibri"/>
                <w:kern w:val="0"/>
                <w:lang w:eastAsia="en-GB"/>
                <w14:ligatures w14:val="none"/>
              </w:rPr>
              <w:t>s (</w:t>
            </w:r>
            <w:proofErr w:type="spellStart"/>
            <w:r w:rsidRPr="006540A8" w:rsidR="006540A8">
              <w:rPr>
                <w:rFonts w:ascii="Calibri" w:hAnsi="Calibri" w:eastAsia="Times New Roman" w:cs="Calibri"/>
                <w:kern w:val="0"/>
                <w:lang w:eastAsia="en-GB"/>
                <w14:ligatures w14:val="none"/>
              </w:rPr>
              <w:t>ReNaMi</w:t>
            </w:r>
            <w:proofErr w:type="spellEnd"/>
            <w:r w:rsidRPr="006540A8" w:rsidR="006540A8">
              <w:rPr>
                <w:rFonts w:ascii="Calibri" w:hAnsi="Calibri" w:eastAsia="Times New Roman" w:cs="Calibri"/>
                <w:kern w:val="0"/>
                <w:lang w:eastAsia="en-GB"/>
                <w14:ligatures w14:val="none"/>
              </w:rPr>
              <w:t>)</w:t>
            </w:r>
            <w:r w:rsidR="006D4169">
              <w:rPr>
                <w:rFonts w:ascii="Calibri" w:hAnsi="Calibri" w:eastAsia="Times New Roman" w:cs="Calibri"/>
                <w:kern w:val="0"/>
                <w:lang w:eastAsia="en-GB"/>
                <w14:ligatures w14:val="none"/>
              </w:rPr>
              <w:t xml:space="preserve">, in the </w:t>
            </w:r>
            <w:r w:rsidR="006540A8">
              <w:rPr>
                <w:rFonts w:ascii="Calibri" w:hAnsi="Calibri" w:eastAsia="Times New Roman" w:cs="Calibri"/>
                <w:kern w:val="0"/>
                <w:lang w:eastAsia="en-GB"/>
                <w14:ligatures w14:val="none"/>
              </w:rPr>
              <w:t>section</w:t>
            </w:r>
            <w:r w:rsidR="006D4169">
              <w:rPr>
                <w:rFonts w:ascii="Calibri" w:hAnsi="Calibri" w:eastAsia="Times New Roman" w:cs="Calibri"/>
                <w:kern w:val="0"/>
                <w:lang w:eastAsia="en-GB"/>
                <w14:ligatures w14:val="none"/>
              </w:rPr>
              <w:t xml:space="preserve"> that haves its name.</w:t>
            </w: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31658F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11443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8753A">
              <w:rPr>
                <w:rFonts w:ascii="Calibri" w:hAnsi="Calibri" w:eastAsia="Times New Roman" w:cs="Calibri"/>
                <w:kern w:val="0"/>
                <w:lang w:eastAsia="en-GB"/>
                <w14:ligatures w14:val="none"/>
              </w:rPr>
              <w:t>X</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0B47BA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76336D">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59DB99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76336D">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48753A" w14:paraId="40CFF5A4" w14:textId="4CCA99B1">
            <w:pPr>
              <w:textAlignment w:val="baseline"/>
              <w:rPr>
                <w:rFonts w:ascii="Calibri" w:hAnsi="Calibri" w:eastAsia="Times New Roman" w:cs="Calibri"/>
                <w:kern w:val="0"/>
                <w:lang w:eastAsia="en-GB"/>
                <w14:ligatures w14:val="none"/>
              </w:rPr>
            </w:pPr>
            <w:r w:rsidRPr="0048753A">
              <w:rPr>
                <w:rFonts w:ascii="Calibri" w:hAnsi="Calibri" w:eastAsia="Times New Roman" w:cs="Calibri"/>
                <w:kern w:val="0"/>
                <w:lang w:eastAsia="en-GB"/>
                <w14:ligatures w14:val="none"/>
              </w:rPr>
              <w:t xml:space="preserve">The policy recommends (but does not require) that revenues generated from carbon credits be used for </w:t>
            </w:r>
            <w:r w:rsidR="0063565E">
              <w:rPr>
                <w:rFonts w:ascii="Calibri" w:hAnsi="Calibri" w:eastAsia="Times New Roman" w:cs="Calibri"/>
                <w:kern w:val="0"/>
                <w:lang w:eastAsia="en-GB"/>
                <w14:ligatures w14:val="none"/>
              </w:rPr>
              <w:t>system</w:t>
            </w:r>
            <w:r w:rsidRPr="0048753A">
              <w:rPr>
                <w:rFonts w:ascii="Calibri" w:hAnsi="Calibri" w:eastAsia="Times New Roman" w:cs="Calibri"/>
                <w:kern w:val="0"/>
                <w:lang w:eastAsia="en-GB"/>
                <w14:ligatures w14:val="none"/>
              </w:rPr>
              <w:t xml:space="preserve"> administration and for other environmental, social and developmental purposes.</w:t>
            </w:r>
            <w:r w:rsidR="0063565E">
              <w:rPr>
                <w:rFonts w:ascii="Calibri" w:hAnsi="Calibri" w:eastAsia="Times New Roman" w:cs="Calibri"/>
                <w:kern w:val="0"/>
                <w:lang w:eastAsia="en-GB"/>
                <w14:ligatures w14:val="none"/>
              </w:rPr>
              <w:t xml:space="preserve"> Section Objective.</w:t>
            </w: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AB6810" w14:paraId="664FE2D4" w14:textId="602757E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4"/>
      <w:r>
        <w:rPr>
          <w:lang w:eastAsia="en-GB"/>
        </w:rPr>
        <w:t xml:space="preserve">Section 4.4: </w:t>
      </w:r>
      <w:r w:rsidR="00F01EE6">
        <w:rPr>
          <w:lang w:eastAsia="en-GB"/>
        </w:rPr>
        <w:t>Policy goal-specific questions</w:t>
      </w:r>
      <w:bookmarkEnd w:id="34"/>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5"/>
      <w:bookmarkStart w:name="_Toc198223627" w:id="36"/>
      <w:bookmarkEnd w:id="35"/>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6"/>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4B65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12B285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35EB1">
              <w:rPr>
                <w:rFonts w:ascii="Calibri" w:hAnsi="Calibri" w:eastAsia="Times New Roman" w:cs="Calibri"/>
                <w:kern w:val="0"/>
                <w:lang w:eastAsia="en-GB"/>
                <w14:ligatures w14:val="none"/>
              </w:rPr>
              <w:t>X</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65C6B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35EB1">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135AA5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35EB1">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28628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F92BB3">
              <w:rPr>
                <w:rFonts w:ascii="Calibri" w:hAnsi="Calibri" w:eastAsia="Times New Roman" w:cs="Calibri"/>
                <w:kern w:val="0"/>
                <w:lang w:eastAsia="en-GB"/>
                <w14:ligatures w14:val="none"/>
              </w:rPr>
              <w:t>X</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51FBD5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723C83">
              <w:rPr>
                <w:rFonts w:ascii="Calibri" w:hAnsi="Calibri" w:eastAsia="Times New Roman" w:cs="Calibri"/>
                <w:kern w:val="0"/>
                <w:lang w:eastAsia="en-GB"/>
                <w14:ligatures w14:val="none"/>
              </w:rPr>
              <w:t>X</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48EA22E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723C83">
              <w:rPr>
                <w:rFonts w:ascii="Calibri" w:hAnsi="Calibri" w:eastAsia="Times New Roman" w:cs="Calibri"/>
                <w:kern w:val="0"/>
                <w:lang w:eastAsia="en-GB"/>
                <w14:ligatures w14:val="none"/>
              </w:rPr>
              <w:t xml:space="preserve"> X</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47D640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14EF">
              <w:rPr>
                <w:rFonts w:ascii="Calibri" w:hAnsi="Calibri" w:eastAsia="Times New Roman" w:cs="Calibri"/>
                <w:kern w:val="0"/>
                <w:lang w:eastAsia="en-GB"/>
                <w14:ligatures w14:val="none"/>
              </w:rPr>
              <w:t>X</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A6414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3355A">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6C715A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3355A">
              <w:rPr>
                <w:rFonts w:ascii="Calibri" w:hAnsi="Calibri" w:eastAsia="Times New Roman" w:cs="Calibri"/>
                <w:kern w:val="0"/>
                <w:lang w:eastAsia="en-GB"/>
                <w14:ligatures w14:val="none"/>
              </w:rPr>
              <w:t>X</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597" w14:paraId="623D2276" w14:textId="2CA3E48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AE3AD5" w14:paraId="05FDFDA2" w14:textId="00A2387B">
            <w:pPr>
              <w:textAlignment w:val="baseline"/>
              <w:rPr>
                <w:rFonts w:ascii="Calibri" w:hAnsi="Calibri" w:eastAsia="Times New Roman" w:cs="Calibri"/>
                <w:kern w:val="0"/>
                <w:lang w:eastAsia="en-GB"/>
                <w14:ligatures w14:val="none"/>
              </w:rPr>
            </w:pPr>
            <w:r>
              <w:t>Recognition of existing third-party certification standards</w:t>
            </w:r>
            <w:r>
              <w:t xml:space="preserve"> (section “</w:t>
            </w:r>
            <w:proofErr w:type="spellStart"/>
            <w:r>
              <w:t>Proyectos</w:t>
            </w:r>
            <w:proofErr w:type="spellEnd"/>
            <w:r>
              <w:t xml:space="preserve"> </w:t>
            </w:r>
            <w:proofErr w:type="spellStart"/>
            <w:r>
              <w:t>registrados</w:t>
            </w:r>
            <w:proofErr w:type="spellEnd"/>
            <w:r>
              <w:t xml:space="preserve"> y </w:t>
            </w:r>
            <w:proofErr w:type="spellStart"/>
            <w:r>
              <w:t>créditos</w:t>
            </w:r>
            <w:proofErr w:type="spellEnd"/>
            <w:r>
              <w:t xml:space="preserve"> de </w:t>
            </w:r>
            <w:proofErr w:type="spellStart"/>
            <w:r>
              <w:t>carbono</w:t>
            </w:r>
            <w:proofErr w:type="spellEnd"/>
            <w:r>
              <w:t xml:space="preserve"> </w:t>
            </w:r>
            <w:proofErr w:type="spellStart"/>
            <w:r>
              <w:t>generados</w:t>
            </w:r>
            <w:proofErr w:type="spellEnd"/>
            <w:r>
              <w:t xml:space="preserve"> </w:t>
            </w:r>
            <w:proofErr w:type="spellStart"/>
            <w:r>
              <w:t>en</w:t>
            </w:r>
            <w:proofErr w:type="spellEnd"/>
            <w:r>
              <w:t xml:space="preserve"> Argentina”); </w:t>
            </w:r>
            <w:r>
              <w:t>Call for robust MRV systems and national verification capacity</w:t>
            </w:r>
            <w:r>
              <w:t xml:space="preserve"> (section “</w:t>
            </w:r>
            <w:proofErr w:type="spellStart"/>
            <w:r>
              <w:t>Participación</w:t>
            </w:r>
            <w:proofErr w:type="spellEnd"/>
            <w:r>
              <w:t xml:space="preserve"> </w:t>
            </w:r>
            <w:proofErr w:type="spellStart"/>
            <w:r>
              <w:t>en</w:t>
            </w:r>
            <w:proofErr w:type="spellEnd"/>
            <w:r>
              <w:t xml:space="preserve"> </w:t>
            </w:r>
            <w:proofErr w:type="spellStart"/>
            <w:r>
              <w:t>los</w:t>
            </w:r>
            <w:proofErr w:type="spellEnd"/>
            <w:r>
              <w:t xml:space="preserve"> mercados </w:t>
            </w:r>
            <w:proofErr w:type="spellStart"/>
            <w:r>
              <w:t>voluntarios</w:t>
            </w:r>
            <w:proofErr w:type="spellEnd"/>
            <w:r>
              <w:t xml:space="preserve">); </w:t>
            </w:r>
            <w:r>
              <w:t>Recommendation to avoid conflicts of interest and ensure transparency</w:t>
            </w:r>
            <w:r>
              <w:t xml:space="preserve"> (section “</w:t>
            </w:r>
            <w:proofErr w:type="spellStart"/>
            <w:r>
              <w:t>Posición</w:t>
            </w:r>
            <w:proofErr w:type="spellEnd"/>
            <w:r>
              <w:t xml:space="preserve"> Nacional respect al </w:t>
            </w:r>
            <w:proofErr w:type="spellStart"/>
            <w:r>
              <w:t>uso</w:t>
            </w:r>
            <w:proofErr w:type="spellEnd"/>
            <w:r>
              <w:t xml:space="preserve"> de Mercados de </w:t>
            </w:r>
            <w:proofErr w:type="spellStart"/>
            <w:r>
              <w:t>Carbono</w:t>
            </w:r>
            <w:proofErr w:type="spellEnd"/>
            <w:r>
              <w:t xml:space="preserve">”); </w:t>
            </w:r>
            <w:r w:rsidRPr="003B7393" w:rsidR="003B7393">
              <w:t>proposes the creation of an Office for Carbon Markets</w:t>
            </w:r>
            <w:r w:rsidRPr="003B7393" w:rsidR="003B7393">
              <w:t xml:space="preserve"> </w:t>
            </w:r>
            <w:r w:rsidR="003B7393">
              <w:t xml:space="preserve">and technical advisory group of experts </w:t>
            </w:r>
            <w:r>
              <w:t>(section “</w:t>
            </w:r>
            <w:proofErr w:type="spellStart"/>
            <w:r>
              <w:t>Arreglos</w:t>
            </w:r>
            <w:proofErr w:type="spellEnd"/>
            <w:r>
              <w:t xml:space="preserve"> </w:t>
            </w:r>
            <w:proofErr w:type="spellStart"/>
            <w:r>
              <w:t>institucionales</w:t>
            </w:r>
            <w:proofErr w:type="spellEnd"/>
            <w:r>
              <w:t>”).</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63256F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42E4">
              <w:rPr>
                <w:rFonts w:ascii="Calibri" w:hAnsi="Calibri" w:eastAsia="Times New Roman" w:cs="Calibri"/>
                <w:kern w:val="0"/>
                <w:lang w:eastAsia="en-GB"/>
                <w14:ligatures w14:val="none"/>
              </w:rPr>
              <w:t>X</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2E21342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42E4">
              <w:rPr>
                <w:rFonts w:ascii="Calibri" w:hAnsi="Calibri" w:eastAsia="Times New Roman" w:cs="Calibri"/>
                <w:kern w:val="0"/>
                <w:lang w:eastAsia="en-GB"/>
                <w14:ligatures w14:val="none"/>
              </w:rPr>
              <w:t>X</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282500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42E4">
              <w:rPr>
                <w:rFonts w:ascii="Calibri" w:hAnsi="Calibri" w:eastAsia="Times New Roman" w:cs="Calibri"/>
                <w:kern w:val="0"/>
                <w:lang w:eastAsia="en-GB"/>
                <w14:ligatures w14:val="none"/>
              </w:rPr>
              <w:t>X</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4AD9FF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42E4">
              <w:rPr>
                <w:rFonts w:ascii="Calibri" w:hAnsi="Calibri" w:eastAsia="Times New Roman" w:cs="Calibri"/>
                <w:kern w:val="0"/>
                <w:lang w:eastAsia="en-GB"/>
                <w14:ligatures w14:val="none"/>
              </w:rPr>
              <w:t>X</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2E8FFC5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A42E4">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DB4FEB" w:rsidRDefault="00565B9C" w14:paraId="29357060" w14:textId="7DF84A0A">
            <w:pPr>
              <w:textAlignment w:val="baseline"/>
              <w:rPr>
                <w:rFonts w:ascii="Calibri" w:hAnsi="Calibri" w:eastAsia="Times New Roman" w:cs="Calibri"/>
                <w:kern w:val="0"/>
                <w:lang w:eastAsia="en-GB"/>
                <w14:ligatures w14:val="none"/>
              </w:rPr>
            </w:pPr>
            <w:r w:rsidRPr="00565B9C">
              <w:rPr>
                <w:rFonts w:ascii="Calibri" w:hAnsi="Calibri" w:eastAsia="Times New Roman" w:cs="Calibri"/>
                <w:kern w:val="0"/>
                <w:lang w:eastAsia="en-GB"/>
                <w14:ligatures w14:val="none"/>
              </w:rPr>
              <w:t xml:space="preserve">The </w:t>
            </w:r>
            <w:r>
              <w:rPr>
                <w:rFonts w:ascii="Calibri" w:hAnsi="Calibri" w:eastAsia="Times New Roman" w:cs="Calibri"/>
                <w:kern w:val="0"/>
                <w:lang w:eastAsia="en-GB"/>
                <w14:ligatures w14:val="none"/>
              </w:rPr>
              <w:t>policy tool</w:t>
            </w:r>
            <w:r w:rsidRPr="00565B9C">
              <w:rPr>
                <w:rFonts w:ascii="Calibri" w:hAnsi="Calibri" w:eastAsia="Times New Roman" w:cs="Calibri"/>
                <w:kern w:val="0"/>
                <w:lang w:eastAsia="en-GB"/>
                <w14:ligatures w14:val="none"/>
              </w:rPr>
              <w:t xml:space="preserve"> does not explicitly require or recommend specific tests for demonstrating additionality. However, the principle of additionality is implicitly incorporated through the emphasis on environmental integrity and alignment with international standards like the Article 6 of the Paris Agreement.</w:t>
            </w:r>
            <w:r w:rsidR="00DB4FEB">
              <w:rPr>
                <w:rFonts w:ascii="Calibri" w:hAnsi="Calibri" w:eastAsia="Times New Roman" w:cs="Calibri"/>
                <w:kern w:val="0"/>
                <w:lang w:eastAsia="en-GB"/>
                <w14:ligatures w14:val="none"/>
              </w:rPr>
              <w:t xml:space="preserve"> </w:t>
            </w:r>
            <w:r w:rsidRPr="00DB4FEB" w:rsidR="00DB4FEB">
              <w:rPr>
                <w:rFonts w:ascii="Calibri" w:hAnsi="Calibri" w:eastAsia="Times New Roman" w:cs="Calibri"/>
                <w:kern w:val="0"/>
                <w:lang w:eastAsia="en-GB"/>
                <w14:ligatures w14:val="none"/>
              </w:rPr>
              <w:t>Section: “</w:t>
            </w:r>
            <w:proofErr w:type="spellStart"/>
            <w:r w:rsidRPr="00DB4FEB" w:rsidR="00DB4FEB">
              <w:rPr>
                <w:rFonts w:ascii="Calibri" w:hAnsi="Calibri" w:eastAsia="Times New Roman" w:cs="Calibri"/>
                <w:kern w:val="0"/>
                <w:lang w:eastAsia="en-GB"/>
                <w14:ligatures w14:val="none"/>
              </w:rPr>
              <w:t>Posición</w:t>
            </w:r>
            <w:proofErr w:type="spellEnd"/>
            <w:r w:rsidRPr="00DB4FEB" w:rsidR="00DB4FEB">
              <w:rPr>
                <w:rFonts w:ascii="Calibri" w:hAnsi="Calibri" w:eastAsia="Times New Roman" w:cs="Calibri"/>
                <w:kern w:val="0"/>
                <w:lang w:eastAsia="en-GB"/>
                <w14:ligatures w14:val="none"/>
              </w:rPr>
              <w:t xml:space="preserve"> Nacional </w:t>
            </w:r>
            <w:proofErr w:type="spellStart"/>
            <w:r w:rsidRPr="00DB4FEB" w:rsidR="00DB4FEB">
              <w:rPr>
                <w:rFonts w:ascii="Calibri" w:hAnsi="Calibri" w:eastAsia="Times New Roman" w:cs="Calibri"/>
                <w:kern w:val="0"/>
                <w:lang w:eastAsia="en-GB"/>
                <w14:ligatures w14:val="none"/>
              </w:rPr>
              <w:t>respecto</w:t>
            </w:r>
            <w:proofErr w:type="spellEnd"/>
            <w:r w:rsidRPr="00DB4FEB" w:rsidR="00DB4FEB">
              <w:rPr>
                <w:rFonts w:ascii="Calibri" w:hAnsi="Calibri" w:eastAsia="Times New Roman" w:cs="Calibri"/>
                <w:kern w:val="0"/>
                <w:lang w:eastAsia="en-GB"/>
                <w14:ligatures w14:val="none"/>
              </w:rPr>
              <w:t xml:space="preserve"> al </w:t>
            </w:r>
            <w:proofErr w:type="spellStart"/>
            <w:r w:rsidRPr="00DB4FEB" w:rsidR="00DB4FEB">
              <w:rPr>
                <w:rFonts w:ascii="Calibri" w:hAnsi="Calibri" w:eastAsia="Times New Roman" w:cs="Calibri"/>
                <w:kern w:val="0"/>
                <w:lang w:eastAsia="en-GB"/>
                <w14:ligatures w14:val="none"/>
              </w:rPr>
              <w:t>uso</w:t>
            </w:r>
            <w:proofErr w:type="spellEnd"/>
            <w:r w:rsidRPr="00DB4FEB" w:rsidR="00DB4FEB">
              <w:rPr>
                <w:rFonts w:ascii="Calibri" w:hAnsi="Calibri" w:eastAsia="Times New Roman" w:cs="Calibri"/>
                <w:kern w:val="0"/>
                <w:lang w:eastAsia="en-GB"/>
                <w14:ligatures w14:val="none"/>
              </w:rPr>
              <w:t xml:space="preserve"> de Mercados de </w:t>
            </w:r>
            <w:proofErr w:type="spellStart"/>
            <w:r w:rsidRPr="00DB4FEB" w:rsidR="00DB4FEB">
              <w:rPr>
                <w:rFonts w:ascii="Calibri" w:hAnsi="Calibri" w:eastAsia="Times New Roman" w:cs="Calibri"/>
                <w:kern w:val="0"/>
                <w:lang w:eastAsia="en-GB"/>
                <w14:ligatures w14:val="none"/>
              </w:rPr>
              <w:t>Carbono</w:t>
            </w:r>
            <w:proofErr w:type="spellEnd"/>
            <w:r w:rsidRPr="00DB4FEB" w:rsidR="00DB4FEB">
              <w:rPr>
                <w:rFonts w:ascii="Calibri" w:hAnsi="Calibri" w:eastAsia="Times New Roman" w:cs="Calibri"/>
                <w:kern w:val="0"/>
                <w:lang w:eastAsia="en-GB"/>
                <w14:ligatures w14:val="none"/>
              </w:rPr>
              <w:t>”:</w:t>
            </w:r>
            <w:r w:rsidR="00DB4FEB">
              <w:rPr>
                <w:rFonts w:ascii="Calibri" w:hAnsi="Calibri" w:eastAsia="Times New Roman" w:cs="Calibri"/>
                <w:kern w:val="0"/>
                <w:lang w:eastAsia="en-GB"/>
                <w14:ligatures w14:val="none"/>
              </w:rPr>
              <w:t xml:space="preserve"> t</w:t>
            </w:r>
            <w:r w:rsidRPr="00DB4FEB" w:rsidR="00DB4FEB">
              <w:rPr>
                <w:rFonts w:ascii="Calibri" w:hAnsi="Calibri" w:eastAsia="Times New Roman" w:cs="Calibri"/>
                <w:kern w:val="0"/>
                <w:lang w:eastAsia="en-GB"/>
                <w14:ligatures w14:val="none"/>
              </w:rPr>
              <w:t>he document emphasizes that mechanisms must be transparent, contribute to environmental integrity, and avoid double counting, in line with the Second NDC and ABU declaration. These principles are aligned with the concept of additionality, though the document does not prescribe specific analytical tools or tests (e.g. investment or barrier analysis).</w:t>
            </w:r>
            <w:r w:rsidR="00DB4FEB">
              <w:rPr>
                <w:rFonts w:ascii="Calibri" w:hAnsi="Calibri" w:eastAsia="Times New Roman" w:cs="Calibri"/>
                <w:kern w:val="0"/>
                <w:lang w:eastAsia="en-GB"/>
                <w14:ligatures w14:val="none"/>
              </w:rPr>
              <w:t xml:space="preserve"> S</w:t>
            </w:r>
            <w:r w:rsidRPr="00DB4FEB" w:rsidR="00DB4FEB">
              <w:rPr>
                <w:rFonts w:ascii="Calibri" w:hAnsi="Calibri" w:eastAsia="Times New Roman" w:cs="Calibri"/>
                <w:kern w:val="0"/>
                <w:lang w:eastAsia="en-GB"/>
                <w14:ligatures w14:val="none"/>
              </w:rPr>
              <w:t>ection: “</w:t>
            </w:r>
            <w:proofErr w:type="spellStart"/>
            <w:r w:rsidRPr="00DB4FEB" w:rsidR="00DB4FEB">
              <w:rPr>
                <w:rFonts w:ascii="Calibri" w:hAnsi="Calibri" w:eastAsia="Times New Roman" w:cs="Calibri"/>
                <w:kern w:val="0"/>
                <w:lang w:eastAsia="en-GB"/>
                <w14:ligatures w14:val="none"/>
              </w:rPr>
              <w:t>Principios</w:t>
            </w:r>
            <w:proofErr w:type="spellEnd"/>
            <w:r w:rsidRPr="00DB4FEB" w:rsidR="00DB4FEB">
              <w:rPr>
                <w:rFonts w:ascii="Calibri" w:hAnsi="Calibri" w:eastAsia="Times New Roman" w:cs="Calibri"/>
                <w:kern w:val="0"/>
                <w:lang w:eastAsia="en-GB"/>
                <w14:ligatures w14:val="none"/>
              </w:rPr>
              <w:t>”</w:t>
            </w:r>
            <w:r w:rsidR="00DB4FEB">
              <w:rPr>
                <w:rFonts w:ascii="Calibri" w:hAnsi="Calibri" w:eastAsia="Times New Roman" w:cs="Calibri"/>
                <w:kern w:val="0"/>
                <w:lang w:eastAsia="en-GB"/>
                <w14:ligatures w14:val="none"/>
              </w:rPr>
              <w:t xml:space="preserve">: </w:t>
            </w:r>
            <w:r w:rsidRPr="00DB4FEB" w:rsidR="00DB4FEB">
              <w:rPr>
                <w:rFonts w:ascii="Calibri" w:hAnsi="Calibri" w:eastAsia="Times New Roman" w:cs="Calibri"/>
                <w:kern w:val="0"/>
                <w:lang w:eastAsia="en-GB"/>
                <w14:ligatures w14:val="none"/>
              </w:rPr>
              <w:t xml:space="preserve">Projects must “not generate perverse incentives that result in </w:t>
            </w:r>
            <w:r w:rsidRPr="00DB4FEB" w:rsidR="00DB4FEB">
              <w:rPr>
                <w:rFonts w:ascii="Calibri" w:hAnsi="Calibri" w:eastAsia="Times New Roman" w:cs="Calibri"/>
                <w:kern w:val="0"/>
                <w:lang w:eastAsia="en-GB"/>
                <w14:ligatures w14:val="none"/>
              </w:rPr>
              <w:lastRenderedPageBreak/>
              <w:t>lower ambition for climate mitigation and adaptation,” and must contribute to the objectives of the NDC and the long-term goals of the Paris Agreement.</w:t>
            </w:r>
            <w:r w:rsidR="00DB4FEB">
              <w:rPr>
                <w:rFonts w:ascii="Calibri" w:hAnsi="Calibri" w:eastAsia="Times New Roman" w:cs="Calibri"/>
                <w:kern w:val="0"/>
                <w:lang w:eastAsia="en-GB"/>
                <w14:ligatures w14:val="none"/>
              </w:rPr>
              <w:t xml:space="preserve"> T</w:t>
            </w:r>
            <w:r w:rsidRPr="00DB4FEB" w:rsidR="00DB4FEB">
              <w:rPr>
                <w:rFonts w:ascii="Calibri" w:hAnsi="Calibri" w:eastAsia="Times New Roman" w:cs="Calibri"/>
                <w:kern w:val="0"/>
                <w:lang w:eastAsia="en-GB"/>
                <w14:ligatures w14:val="none"/>
              </w:rPr>
              <w:t>his reinforces the idea that only truly additional (i.e. necessary) mitigation efforts should be credited, even if not explicitly termed as such.</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0952A7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380D">
              <w:rPr>
                <w:rFonts w:ascii="Calibri" w:hAnsi="Calibri" w:eastAsia="Times New Roman" w:cs="Calibri"/>
                <w:kern w:val="0"/>
                <w:lang w:eastAsia="en-GB"/>
                <w14:ligatures w14:val="none"/>
              </w:rPr>
              <w:t>X</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42FD13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380D">
              <w:rPr>
                <w:rFonts w:ascii="Calibri" w:hAnsi="Calibri" w:eastAsia="Times New Roman" w:cs="Calibri"/>
                <w:kern w:val="0"/>
                <w:lang w:eastAsia="en-GB"/>
                <w14:ligatures w14:val="none"/>
              </w:rPr>
              <w:t>X</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0766AE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380D">
              <w:rPr>
                <w:rFonts w:ascii="Calibri" w:hAnsi="Calibri" w:eastAsia="Times New Roman" w:cs="Calibri"/>
                <w:kern w:val="0"/>
                <w:lang w:eastAsia="en-GB"/>
                <w14:ligatures w14:val="none"/>
              </w:rPr>
              <w:t>X</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6A5E0D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3543E4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A16B4">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6B5E11D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6924">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12E051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6924">
              <w:rPr>
                <w:rFonts w:ascii="Calibri" w:hAnsi="Calibri" w:eastAsia="Times New Roman" w:cs="Calibri"/>
                <w:kern w:val="0"/>
                <w:lang w:eastAsia="en-GB"/>
                <w14:ligatures w14:val="none"/>
              </w:rPr>
              <w:t>X</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42A5A1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6924">
              <w:rPr>
                <w:rFonts w:ascii="Calibri" w:hAnsi="Calibri" w:eastAsia="Times New Roman" w:cs="Calibri"/>
                <w:kern w:val="0"/>
                <w:lang w:eastAsia="en-GB"/>
                <w14:ligatures w14:val="none"/>
              </w:rPr>
              <w:t>X</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67359C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6924">
              <w:rPr>
                <w:rFonts w:ascii="Calibri" w:hAnsi="Calibri" w:eastAsia="Times New Roman" w:cs="Calibri"/>
                <w:kern w:val="0"/>
                <w:lang w:eastAsia="en-GB"/>
                <w14:ligatures w14:val="none"/>
              </w:rPr>
              <w:t>X</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4F7C9A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5E73E0" w:rsidR="005E73E0">
              <w:rPr>
                <w:rFonts w:ascii="Calibri" w:hAnsi="Calibri" w:eastAsia="Times New Roman" w:cs="Calibri"/>
                <w:kern w:val="0"/>
                <w:lang w:eastAsia="en-GB"/>
                <w14:ligatures w14:val="none"/>
              </w:rPr>
              <w:t xml:space="preserve">The </w:t>
            </w:r>
            <w:r w:rsidR="005E73E0">
              <w:rPr>
                <w:rFonts w:ascii="Calibri" w:hAnsi="Calibri" w:eastAsia="Times New Roman" w:cs="Calibri"/>
                <w:kern w:val="0"/>
                <w:lang w:eastAsia="en-GB"/>
                <w14:ligatures w14:val="none"/>
              </w:rPr>
              <w:t>policy tool</w:t>
            </w:r>
            <w:r w:rsidRPr="005E73E0" w:rsidR="005E73E0">
              <w:rPr>
                <w:rFonts w:ascii="Calibri" w:hAnsi="Calibri" w:eastAsia="Times New Roman" w:cs="Calibri"/>
                <w:kern w:val="0"/>
                <w:lang w:eastAsia="en-GB"/>
                <w14:ligatures w14:val="none"/>
              </w:rPr>
              <w:t xml:space="preserve"> outlines remedial measures to address reversal of credits primarily through the establishment of institutional arrangements and monitoring mechanisms. Specifically, the strategy includes the creation of a National Office for Carbon Markets, which will oversee the implementation of the strategy and ensure the monitoring, reporting and verification (MRV) of mitigation outcomes (see p. 36–37).</w:t>
            </w:r>
            <w:r w:rsidR="005A16B4">
              <w:rPr>
                <w:rFonts w:ascii="Calibri" w:hAnsi="Calibri" w:eastAsia="Times New Roman" w:cs="Calibri"/>
                <w:kern w:val="0"/>
                <w:lang w:eastAsia="en-GB"/>
                <w14:ligatures w14:val="none"/>
              </w:rPr>
              <w:t xml:space="preserve"> </w:t>
            </w:r>
            <w:r w:rsidRPr="005E73E0" w:rsidR="005E73E0">
              <w:rPr>
                <w:rFonts w:ascii="Calibri" w:hAnsi="Calibri" w:eastAsia="Times New Roman" w:cs="Calibri"/>
                <w:kern w:val="0"/>
                <w:lang w:eastAsia="en-GB"/>
                <w14:ligatures w14:val="none"/>
              </w:rPr>
              <w:t xml:space="preserve">Additionally, </w:t>
            </w:r>
            <w:r w:rsidR="005A16B4">
              <w:rPr>
                <w:rFonts w:ascii="Calibri" w:hAnsi="Calibri" w:eastAsia="Times New Roman" w:cs="Calibri"/>
                <w:kern w:val="0"/>
                <w:lang w:eastAsia="en-GB"/>
                <w14:ligatures w14:val="none"/>
              </w:rPr>
              <w:t>the policy</w:t>
            </w:r>
            <w:r w:rsidRPr="005E73E0" w:rsidR="005E73E0">
              <w:rPr>
                <w:rFonts w:ascii="Calibri" w:hAnsi="Calibri" w:eastAsia="Times New Roman" w:cs="Calibri"/>
                <w:kern w:val="0"/>
                <w:lang w:eastAsia="en-GB"/>
                <w14:ligatures w14:val="none"/>
              </w:rPr>
              <w:t xml:space="preserve"> highlights the importance of maintaining environmental integrity and avoiding double counting, which implies the use of buffer mechanisms or equivalent compensation tools to safeguard against reversals (see Executive Summary, p. 13). While the strategy does not explicitly mention insurance or specify reversal risk management by credit type, it establishes governance processes to assess and respond to project risks aligned with national and international standards (see p. 34–36).</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835031" w14:paraId="49F20F28" w14:textId="25B196C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835031" w:rsidRDefault="00276E34" w14:paraId="4073F913" w14:textId="0BE9AC4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As referred above, the</w:t>
            </w:r>
            <w:r w:rsidRPr="00835031" w:rsidR="00835031">
              <w:rPr>
                <w:rFonts w:ascii="Calibri" w:hAnsi="Calibri" w:eastAsia="Times New Roman" w:cs="Calibri"/>
                <w:kern w:val="0"/>
                <w:lang w:eastAsia="en-GB"/>
                <w14:ligatures w14:val="none"/>
              </w:rPr>
              <w:t xml:space="preserve"> </w:t>
            </w:r>
            <w:r>
              <w:rPr>
                <w:rFonts w:ascii="Calibri" w:hAnsi="Calibri" w:eastAsia="Times New Roman" w:cs="Calibri"/>
                <w:kern w:val="0"/>
                <w:lang w:eastAsia="en-GB"/>
                <w14:ligatures w14:val="none"/>
              </w:rPr>
              <w:t>policy tool</w:t>
            </w:r>
            <w:r w:rsidRPr="00835031" w:rsidR="00835031">
              <w:rPr>
                <w:rFonts w:ascii="Calibri" w:hAnsi="Calibri" w:eastAsia="Times New Roman" w:cs="Calibri"/>
                <w:kern w:val="0"/>
                <w:lang w:eastAsia="en-GB"/>
                <w14:ligatures w14:val="none"/>
              </w:rPr>
              <w:t xml:space="preserve"> provides guidance regarding the development, registration, and monitoring of carbon credit projects through the National Registry of Climate Change Mitigation Projects (</w:t>
            </w:r>
            <w:proofErr w:type="spellStart"/>
            <w:r w:rsidRPr="00835031" w:rsidR="00835031">
              <w:rPr>
                <w:rFonts w:ascii="Calibri" w:hAnsi="Calibri" w:eastAsia="Times New Roman" w:cs="Calibri"/>
                <w:kern w:val="0"/>
                <w:lang w:eastAsia="en-GB"/>
                <w14:ligatures w14:val="none"/>
              </w:rPr>
              <w:t>ReNaMi</w:t>
            </w:r>
            <w:proofErr w:type="spellEnd"/>
            <w:r w:rsidRPr="00835031" w:rsidR="00835031">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835031" w:rsidR="00835031">
              <w:rPr>
                <w:rFonts w:ascii="Calibri" w:hAnsi="Calibri" w:eastAsia="Times New Roman" w:cs="Calibri"/>
                <w:kern w:val="0"/>
                <w:lang w:eastAsia="en-GB"/>
                <w14:ligatures w14:val="none"/>
              </w:rPr>
              <w:t xml:space="preserve">The </w:t>
            </w:r>
            <w:r>
              <w:rPr>
                <w:rFonts w:ascii="Calibri" w:hAnsi="Calibri" w:eastAsia="Times New Roman" w:cs="Calibri"/>
                <w:kern w:val="0"/>
                <w:lang w:eastAsia="en-GB"/>
                <w14:ligatures w14:val="none"/>
              </w:rPr>
              <w:t>policy tool</w:t>
            </w:r>
            <w:r w:rsidRPr="00835031" w:rsidR="00835031">
              <w:rPr>
                <w:rFonts w:ascii="Calibri" w:hAnsi="Calibri" w:eastAsia="Times New Roman" w:cs="Calibri"/>
                <w:kern w:val="0"/>
                <w:lang w:eastAsia="en-GB"/>
                <w14:ligatures w14:val="none"/>
              </w:rPr>
              <w:t xml:space="preserve"> refers to the use of international standards such as the CDM, Verified Carbon Standard (VCS), and Gold Standard, which include strict methodologies for quantification (see p. 25–26). While it does not prescribe specific quantification formulas, the policy requires alignment with these standards and with national MRV systems.</w:t>
            </w: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2ED030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3743A">
              <w:rPr>
                <w:rFonts w:ascii="Calibri" w:hAnsi="Calibri" w:eastAsia="Times New Roman" w:cs="Calibri"/>
                <w:kern w:val="0"/>
                <w:lang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5E19C8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1E1BDAF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D744F">
              <w:rPr>
                <w:rFonts w:ascii="Calibri" w:hAnsi="Calibri" w:eastAsia="Times New Roman" w:cs="Calibri"/>
                <w:kern w:val="0"/>
                <w:lang w:eastAsia="en-GB"/>
                <w14:ligatures w14:val="none"/>
              </w:rPr>
              <w:t>X</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4010638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3743A">
              <w:rPr>
                <w:rFonts w:ascii="Calibri" w:hAnsi="Calibri" w:eastAsia="Times New Roman" w:cs="Calibri"/>
                <w:kern w:val="0"/>
                <w:lang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4FC7E61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3743A">
              <w:rPr>
                <w:rFonts w:ascii="Calibri" w:hAnsi="Calibri" w:eastAsia="Times New Roman" w:cs="Calibri"/>
                <w:kern w:val="0"/>
                <w:lang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4DAF55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15753C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3743A">
              <w:rPr>
                <w:rFonts w:ascii="Calibri" w:hAnsi="Calibri" w:eastAsia="Times New Roman" w:cs="Calibri"/>
                <w:kern w:val="0"/>
                <w:lang w:eastAsia="en-GB"/>
                <w14:ligatures w14:val="none"/>
              </w:rPr>
              <w:t>X</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D0C04" w:rsidP="00BD0C04" w:rsidRDefault="00B3743A" w14:paraId="2BE41921" w14:textId="5C271A87">
            <w:pPr>
              <w:textAlignment w:val="baseline"/>
              <w:rPr>
                <w:rFonts w:ascii="Calibri" w:hAnsi="Calibri" w:eastAsia="Times New Roman" w:cs="Calibri"/>
                <w:kern w:val="0"/>
                <w:lang w:eastAsia="en-GB"/>
                <w14:ligatures w14:val="none"/>
              </w:rPr>
            </w:pPr>
            <w:r w:rsidRPr="00B3743A">
              <w:rPr>
                <w:rFonts w:ascii="Calibri" w:hAnsi="Calibri" w:eastAsia="Times New Roman" w:cs="Calibri"/>
                <w:kern w:val="0"/>
                <w:lang w:eastAsia="en-GB"/>
                <w14:ligatures w14:val="none"/>
              </w:rPr>
              <w:t>The policy tool includes several provisions that safeguard the social integrity of carbon credits. It establishes that all carbon market activities must be implemented with full respect for human rights, the rights of workers, public participation, access to information, and justice, in accordance with the Escazú Agreement and relevant national legislation (see p. 34–35</w:t>
            </w:r>
            <w:r w:rsidR="00BD0C04">
              <w:rPr>
                <w:rFonts w:ascii="Calibri" w:hAnsi="Calibri" w:eastAsia="Times New Roman" w:cs="Calibri"/>
                <w:kern w:val="0"/>
                <w:lang w:eastAsia="en-GB"/>
                <w14:ligatures w14:val="none"/>
              </w:rPr>
              <w:t>).</w:t>
            </w:r>
          </w:p>
          <w:p w:rsidRPr="00CF2E7C" w:rsidR="00DD694D" w:rsidP="00B3743A" w:rsidRDefault="00DD694D" w14:paraId="2206715E" w14:textId="4B70C82F">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7"/>
      <w:bookmarkStart w:name="_Toc198223628" w:id="38"/>
      <w:bookmarkEnd w:id="37"/>
      <w:r>
        <w:t xml:space="preserve">Section </w:t>
      </w:r>
      <w:r w:rsidR="00B20D58">
        <w:t>4</w:t>
      </w:r>
      <w:r w:rsidR="00D2196F">
        <w:t>.4.2</w:t>
      </w:r>
      <w:r>
        <w:t xml:space="preserve">: </w:t>
      </w:r>
      <w:r w:rsidRPr="009C4D10">
        <w:t>Carbon Credit Usage in Compliance Market and Voluntary Carbon Market</w:t>
      </w:r>
      <w:bookmarkEnd w:id="38"/>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86584C" w14:paraId="0625B7A1" w14:textId="6A2EFED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9604E" w14:paraId="153D276A" w14:textId="77DDF625">
            <w:pPr>
              <w:textAlignment w:val="baseline"/>
              <w:rPr>
                <w:rFonts w:ascii="Calibri" w:hAnsi="Calibri" w:eastAsia="Times New Roman" w:cs="Calibri"/>
                <w:kern w:val="0"/>
                <w:lang w:eastAsia="en-GB"/>
                <w14:ligatures w14:val="none"/>
              </w:rPr>
            </w:pPr>
            <w:r w:rsidRPr="00B9604E">
              <w:rPr>
                <w:rFonts w:ascii="Calibri" w:hAnsi="Calibri" w:eastAsia="Times New Roman" w:cs="Calibri"/>
                <w:kern w:val="0"/>
                <w:lang w:eastAsia="en-GB"/>
                <w14:ligatures w14:val="none"/>
              </w:rPr>
              <w:t>The policy tool does not explicitly define which types of carbon credits are permitted to offset compliance costs, as Argentina currently does not have a domestic compliance system (carbon tax or ETS) in force. The strategy focuses instead on enabling access to international carbon markets (e.g., under Article 6 of the Paris Agreement) and on the generation and transfer of credits, without prescribing specific use for domestic compliance offsetting.</w:t>
            </w: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2D76DA" w14:paraId="7D577B6B" w14:textId="605D7AF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2D76DA" w:rsidR="002D76DA" w:rsidP="002D76DA" w:rsidRDefault="00B9604E" w14:paraId="7C4DDDF6" w14:textId="750B1B4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T</w:t>
            </w:r>
            <w:r w:rsidRPr="002D76DA" w:rsidR="002D76DA">
              <w:rPr>
                <w:rFonts w:ascii="Calibri" w:hAnsi="Calibri" w:eastAsia="Times New Roman" w:cs="Calibri"/>
                <w:kern w:val="0"/>
                <w:lang w:eastAsia="en-GB"/>
                <w14:ligatures w14:val="none"/>
              </w:rPr>
              <w:t>he policy tool sets principles and strategic guidance for entities engaged in the voluntary carbon market. It acknowledges voluntary markets as a key area of participation for Argentina and encourages the development of mitigation projects aligned with international standards such as the Verified Carbon Standard (VCS) and the Gold Standard (see p. 25–26).</w:t>
            </w:r>
          </w:p>
          <w:p w:rsidRPr="00CF2E7C" w:rsidR="00FE7FA5" w:rsidP="002D76DA" w:rsidRDefault="002D76DA" w14:paraId="2080C3D9" w14:textId="52491902">
            <w:pPr>
              <w:textAlignment w:val="baseline"/>
              <w:rPr>
                <w:rFonts w:ascii="Calibri" w:hAnsi="Calibri" w:eastAsia="Times New Roman" w:cs="Calibri"/>
                <w:kern w:val="0"/>
                <w:lang w:eastAsia="en-GB"/>
                <w14:ligatures w14:val="none"/>
              </w:rPr>
            </w:pPr>
            <w:r w:rsidRPr="002D76DA">
              <w:rPr>
                <w:rFonts w:ascii="Calibri" w:hAnsi="Calibri" w:eastAsia="Times New Roman" w:cs="Calibri"/>
                <w:kern w:val="0"/>
                <w:lang w:eastAsia="en-GB"/>
                <w14:ligatures w14:val="none"/>
              </w:rPr>
              <w:t>The policy tool promotes environmental and social safeguards, transparent monitoring, and national approval for all mitigation outcomes generated in the country, including those in the voluntary market. It also emphasizes that any voluntary transactions involving mitigation outcomes must be registered and authorized by the national government (see p. 30–31), to ensure consistency with Argentina’s NDC and avoid double counting.</w:t>
            </w: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1161C" w:rsidR="00C1161C" w:rsidP="00C1161C" w:rsidRDefault="00C1161C" w14:paraId="0E4F39FB" w14:textId="54A4479E">
            <w:pPr>
              <w:textAlignment w:val="baseline"/>
              <w:rPr>
                <w:rFonts w:ascii="Calibri" w:hAnsi="Calibri" w:eastAsia="Times New Roman" w:cs="Calibri"/>
                <w:kern w:val="0"/>
                <w:lang w:eastAsia="en-GB"/>
                <w14:ligatures w14:val="none"/>
              </w:rPr>
            </w:pPr>
            <w:r w:rsidRPr="00C1161C">
              <w:rPr>
                <w:rFonts w:ascii="Calibri" w:hAnsi="Calibri" w:eastAsia="Times New Roman" w:cs="Calibri"/>
                <w:kern w:val="0"/>
                <w:lang w:eastAsia="en-GB"/>
                <w14:ligatures w14:val="none"/>
              </w:rPr>
              <w:t>The policy tool references international crediting standards—specifically the CDM, Verified Carbon Standard (VCS), and Gold Standard—as acceptable frameworks under which mitigation projects in Argentina have been developed and can continue to be generated (see p. 25–26). These standards guide the quantification and verification of credits used in the voluntary carbon market.</w:t>
            </w:r>
          </w:p>
          <w:p w:rsidRPr="00CF2E7C" w:rsidR="00FE7FA5" w:rsidP="00C1161C" w:rsidRDefault="00C1161C" w14:paraId="68DA79BD" w14:textId="107005D0">
            <w:pPr>
              <w:textAlignment w:val="baseline"/>
              <w:rPr>
                <w:rFonts w:ascii="Calibri" w:hAnsi="Calibri" w:eastAsia="Times New Roman" w:cs="Calibri"/>
                <w:kern w:val="0"/>
                <w:lang w:eastAsia="en-GB"/>
                <w14:ligatures w14:val="none"/>
              </w:rPr>
            </w:pPr>
            <w:r w:rsidRPr="00C1161C">
              <w:rPr>
                <w:rFonts w:ascii="Calibri" w:hAnsi="Calibri" w:eastAsia="Times New Roman" w:cs="Calibri"/>
                <w:kern w:val="0"/>
                <w:lang w:eastAsia="en-GB"/>
                <w14:ligatures w14:val="none"/>
              </w:rPr>
              <w:t>Moreover, the policy tool requires that all mitigation outcomes—whether used in voluntary or compliance markets—must be recorded in the National Registry (</w:t>
            </w:r>
            <w:proofErr w:type="spellStart"/>
            <w:r w:rsidRPr="00C1161C">
              <w:rPr>
                <w:rFonts w:ascii="Calibri" w:hAnsi="Calibri" w:eastAsia="Times New Roman" w:cs="Calibri"/>
                <w:kern w:val="0"/>
                <w:lang w:eastAsia="en-GB"/>
                <w14:ligatures w14:val="none"/>
              </w:rPr>
              <w:t>ReNaMi</w:t>
            </w:r>
            <w:proofErr w:type="spellEnd"/>
            <w:r w:rsidRPr="00C1161C">
              <w:rPr>
                <w:rFonts w:ascii="Calibri" w:hAnsi="Calibri" w:eastAsia="Times New Roman" w:cs="Calibri"/>
                <w:kern w:val="0"/>
                <w:lang w:eastAsia="en-GB"/>
                <w14:ligatures w14:val="none"/>
              </w:rPr>
              <w:t>) and subject to national authorization (see p. 30–31). This ensures alignment with Argentina’s climate targets and compliance with international transparency requirements.</w:t>
            </w: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253906C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563294">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17C6F2D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63294">
              <w:rPr>
                <w:rFonts w:ascii="Calibri" w:hAnsi="Calibri" w:eastAsia="Times New Roman" w:cs="Calibri"/>
                <w:kern w:val="0"/>
                <w:lang w:eastAsia="en-GB"/>
                <w14:ligatures w14:val="none"/>
              </w:rPr>
              <w:t>X</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465DF7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63294">
              <w:rPr>
                <w:rFonts w:ascii="Calibri" w:hAnsi="Calibri" w:eastAsia="Times New Roman" w:cs="Calibri"/>
                <w:kern w:val="0"/>
                <w:lang w:eastAsia="en-GB"/>
                <w14:ligatures w14:val="none"/>
              </w:rPr>
              <w:t>X</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1DEF65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63294">
              <w:rPr>
                <w:rFonts w:ascii="Calibri" w:hAnsi="Calibri" w:eastAsia="Times New Roman" w:cs="Calibri"/>
                <w:kern w:val="0"/>
                <w:lang w:eastAsia="en-GB"/>
                <w14:ligatures w14:val="none"/>
              </w:rPr>
              <w:t>X</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0428A5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63294">
              <w:rPr>
                <w:rFonts w:ascii="Calibri" w:hAnsi="Calibri" w:eastAsia="Times New Roman" w:cs="Calibri"/>
                <w:kern w:val="0"/>
                <w:lang w:eastAsia="en-GB"/>
                <w14:ligatures w14:val="none"/>
              </w:rPr>
              <w:t>X</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266E86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63294">
              <w:rPr>
                <w:rFonts w:ascii="Calibri" w:hAnsi="Calibri" w:eastAsia="Times New Roman" w:cs="Calibri"/>
                <w:kern w:val="0"/>
                <w:lang w:eastAsia="en-GB"/>
                <w14:ligatures w14:val="none"/>
              </w:rPr>
              <w:t>X</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5B8B03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176C66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93F69">
              <w:rPr>
                <w:rFonts w:ascii="Calibri" w:hAnsi="Calibri" w:eastAsia="Times New Roman" w:cs="Calibri"/>
                <w:kern w:val="0"/>
                <w:lang w:eastAsia="en-GB"/>
                <w14:ligatures w14:val="none"/>
              </w:rPr>
              <w:t>X</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30AEB8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63294">
              <w:rPr>
                <w:rFonts w:ascii="Calibri" w:hAnsi="Calibri" w:eastAsia="Times New Roman" w:cs="Calibri"/>
                <w:kern w:val="0"/>
                <w:lang w:eastAsia="en-GB"/>
                <w14:ligatures w14:val="none"/>
              </w:rPr>
              <w:t>X</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5AF5A7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14110">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1D36F9B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14110">
              <w:rPr>
                <w:rFonts w:ascii="Calibri" w:hAnsi="Calibri" w:eastAsia="Times New Roman" w:cs="Calibri"/>
                <w:kern w:val="0"/>
                <w:lang w:eastAsia="en-GB"/>
                <w14:ligatures w14:val="none"/>
              </w:rPr>
              <w:t>X</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02D3BF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E33DE">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50288B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106D678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E33DE">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3E8C8ED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29F2CA4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14110">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514110" w:rsidR="00834370" w:rsidP="00CF2E7C" w:rsidRDefault="00514110" w14:paraId="2042A28D" w14:textId="2E01D461">
            <w:pPr>
              <w:textAlignment w:val="baseline"/>
              <w:rPr>
                <w:rFonts w:ascii="Calibri" w:hAnsi="Calibri" w:eastAsia="Times New Roman" w:cs="Calibri"/>
                <w:kern w:val="0"/>
                <w:lang w:eastAsia="en-GB"/>
                <w14:ligatures w14:val="none"/>
              </w:rPr>
            </w:pPr>
            <w:r w:rsidRPr="00B3743A">
              <w:rPr>
                <w:rFonts w:ascii="Calibri" w:hAnsi="Calibri" w:eastAsia="Times New Roman" w:cs="Calibri"/>
                <w:kern w:val="0"/>
                <w:lang w:eastAsia="en-GB"/>
                <w14:ligatures w14:val="none"/>
              </w:rPr>
              <w:t>The policy tool includes several provisions that safeguard the social integrity of carbon credits. It establishes that all carbon market activities must be implemented with full respect for human rights, the rights of workers, public participation, access to information, and justice, in accordance with the Escazú Agreement and relevant national legislation (see p. 34–35</w:t>
            </w:r>
            <w:r>
              <w:rPr>
                <w:rFonts w:ascii="Calibri" w:hAnsi="Calibri" w:eastAsia="Times New Roman" w:cs="Calibri"/>
                <w:kern w:val="0"/>
                <w:lang w:eastAsia="en-GB"/>
                <w14:ligatures w14:val="none"/>
              </w:rPr>
              <w:t>).</w:t>
            </w: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9"/>
      <w:bookmarkStart w:name="_Toc198223629" w:id="40"/>
      <w:bookmarkEnd w:id="39"/>
      <w:r>
        <w:lastRenderedPageBreak/>
        <w:t xml:space="preserve">Section </w:t>
      </w:r>
      <w:r w:rsidR="00B20D58">
        <w:t>4</w:t>
      </w:r>
      <w:r w:rsidR="004A54B3">
        <w:t>.4.3</w:t>
      </w:r>
      <w:r>
        <w:t xml:space="preserve">: </w:t>
      </w:r>
      <w:r w:rsidRPr="009C4D10">
        <w:t>Operationalizing Paris Agreement Article 6 provisions as they apply to carbon credits</w:t>
      </w:r>
      <w:bookmarkEnd w:id="40"/>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083381" w14:paraId="19995C75" w14:textId="205A67F2">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083381" w14:paraId="2EEB7167" w14:textId="47526DC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0F6A60" w14:paraId="3E1D5DB1" w14:textId="38FD8463">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0F6A60" w:rsidR="000F6A60" w:rsidP="000F6A60" w:rsidRDefault="000F6A60" w14:paraId="5C91738B" w14:textId="4D84D931">
            <w:pPr>
              <w:textAlignment w:val="baseline"/>
              <w:rPr>
                <w:rFonts w:eastAsia="Times New Roman" w:cstheme="minorHAnsi"/>
                <w:kern w:val="0"/>
                <w:lang w:eastAsia="en-GB"/>
                <w14:ligatures w14:val="none"/>
              </w:rPr>
            </w:pPr>
            <w:r w:rsidRPr="000F6A60">
              <w:rPr>
                <w:rFonts w:eastAsia="Times New Roman" w:cstheme="minorHAnsi"/>
                <w:kern w:val="0"/>
                <w:lang w:eastAsia="en-GB"/>
                <w14:ligatures w14:val="none"/>
              </w:rPr>
              <w:t>The policy tool explicitly incorporates all three mechanisms under Article 6 of the Paris Agreement</w:t>
            </w:r>
            <w:r w:rsidR="00462003">
              <w:rPr>
                <w:rFonts w:eastAsia="Times New Roman" w:cstheme="minorHAnsi"/>
                <w:kern w:val="0"/>
                <w:lang w:eastAsia="en-GB"/>
                <w14:ligatures w14:val="none"/>
              </w:rPr>
              <w:t xml:space="preserve"> (see p. 12, 17</w:t>
            </w:r>
            <w:r w:rsidR="00642F22">
              <w:rPr>
                <w:rFonts w:eastAsia="Times New Roman" w:cstheme="minorHAnsi"/>
                <w:kern w:val="0"/>
                <w:lang w:eastAsia="en-GB"/>
                <w14:ligatures w14:val="none"/>
              </w:rPr>
              <w:t>-21, 24, 3</w:t>
            </w:r>
            <w:r w:rsidR="00C54002">
              <w:rPr>
                <w:rFonts w:eastAsia="Times New Roman" w:cstheme="minorHAnsi"/>
                <w:kern w:val="0"/>
                <w:lang w:eastAsia="en-GB"/>
                <w14:ligatures w14:val="none"/>
              </w:rPr>
              <w:t>0-32</w:t>
            </w:r>
            <w:r w:rsidR="00642F22">
              <w:rPr>
                <w:rFonts w:eastAsia="Times New Roman" w:cstheme="minorHAnsi"/>
                <w:kern w:val="0"/>
                <w:lang w:eastAsia="en-GB"/>
                <w14:ligatures w14:val="none"/>
              </w:rPr>
              <w:t>).</w:t>
            </w:r>
          </w:p>
          <w:p w:rsidRPr="000F6A60" w:rsidR="00C54002" w:rsidP="00C54002" w:rsidRDefault="000F6A60" w14:paraId="5477C813" w14:textId="346F0C0B">
            <w:pPr>
              <w:textAlignment w:val="baseline"/>
              <w:rPr>
                <w:rFonts w:eastAsia="Times New Roman" w:cstheme="minorHAnsi"/>
                <w:kern w:val="0"/>
                <w:lang w:eastAsia="en-GB"/>
                <w14:ligatures w14:val="none"/>
              </w:rPr>
            </w:pPr>
            <w:r w:rsidRPr="000F6A60">
              <w:rPr>
                <w:rFonts w:eastAsia="Times New Roman" w:cstheme="minorHAnsi"/>
                <w:kern w:val="0"/>
                <w:lang w:eastAsia="en-GB"/>
                <w14:ligatures w14:val="none"/>
              </w:rPr>
              <w:t xml:space="preserve">Article 6.2: The tool refers to the transfer of internationally transferred mitigation outcomes (ITMOs) between countries as a potential pathway for Argentina to contribute to global mitigation while maintaining environmental integrity </w:t>
            </w:r>
          </w:p>
          <w:p w:rsidRPr="000F6A60" w:rsidR="000F6A60" w:rsidP="000F6A60" w:rsidRDefault="00C54002" w14:paraId="3FD43BFA" w14:textId="10715952">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w:t>
            </w:r>
            <w:r w:rsidRPr="000F6A60" w:rsidR="000F6A60">
              <w:rPr>
                <w:rFonts w:eastAsia="Times New Roman" w:cstheme="minorHAnsi"/>
                <w:kern w:val="0"/>
                <w:lang w:eastAsia="en-GB"/>
                <w14:ligatures w14:val="none"/>
              </w:rPr>
              <w:t>rticle 6.4: It also supports participation in the Article 6.4 crediting mechanism, encouraging the registration of mitigation projects that comply with UNFCCC requirements</w:t>
            </w:r>
            <w:r>
              <w:rPr>
                <w:rFonts w:eastAsia="Times New Roman" w:cstheme="minorHAnsi"/>
                <w:kern w:val="0"/>
                <w:lang w:eastAsia="en-GB"/>
                <w14:ligatures w14:val="none"/>
              </w:rPr>
              <w:t>.</w:t>
            </w:r>
          </w:p>
          <w:p w:rsidRPr="009C4D10" w:rsidR="00FE7FA5" w:rsidP="00CF2E7C" w:rsidRDefault="000F6A60" w14:paraId="08F9B0DF" w14:textId="5191A070">
            <w:pPr>
              <w:textAlignment w:val="baseline"/>
              <w:rPr>
                <w:rFonts w:eastAsia="Times New Roman" w:cstheme="minorHAnsi"/>
                <w:kern w:val="0"/>
                <w:lang w:eastAsia="en-GB"/>
                <w14:ligatures w14:val="none"/>
              </w:rPr>
            </w:pPr>
            <w:r w:rsidRPr="000F6A60">
              <w:rPr>
                <w:rFonts w:eastAsia="Times New Roman" w:cstheme="minorHAnsi"/>
                <w:kern w:val="0"/>
                <w:lang w:eastAsia="en-GB"/>
                <w14:ligatures w14:val="none"/>
              </w:rPr>
              <w:t>Article 6.8: The tool recognizes the importance of non-market approaches under Article 6.8, especially in the context of regional cooperation and knowledge exchange for sustainable development</w:t>
            </w:r>
            <w:r w:rsidR="00C54002">
              <w:rPr>
                <w:rFonts w:eastAsia="Times New Roman" w:cstheme="minorHAnsi"/>
                <w:kern w:val="0"/>
                <w:lang w:eastAsia="en-GB"/>
                <w14:ligatures w14:val="none"/>
              </w:rPr>
              <w:t>.</w:t>
            </w: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41"/>
      <w:bookmarkStart w:name="_Toc198223630" w:id="42"/>
      <w:bookmarkEnd w:id="4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2"/>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1C3DA9" w14:paraId="2EBACE75" w14:textId="4ED01F46">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214CA4F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1C3DA9">
              <w:rPr>
                <w:rFonts w:eastAsia="Times New Roman" w:cstheme="minorHAnsi"/>
                <w:kern w:val="0"/>
                <w:lang w:eastAsia="en-GB"/>
                <w14:ligatures w14:val="none"/>
              </w:rPr>
              <w:t>X</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1C3DA9" w:rsidR="001C3DA9" w:rsidP="001C3DA9" w:rsidRDefault="001C3DA9" w14:paraId="7C2BD32A" w14:textId="7C22AF46">
            <w:pPr>
              <w:textAlignment w:val="baseline"/>
              <w:rPr>
                <w:rFonts w:eastAsia="Times New Roman" w:cstheme="minorHAnsi"/>
                <w:kern w:val="0"/>
                <w:lang w:eastAsia="en-GB"/>
                <w14:ligatures w14:val="none"/>
              </w:rPr>
            </w:pPr>
            <w:r w:rsidRPr="001C3DA9">
              <w:rPr>
                <w:rFonts w:eastAsia="Times New Roman" w:cstheme="minorHAnsi"/>
                <w:kern w:val="0"/>
                <w:lang w:eastAsia="en-GB"/>
                <w14:ligatures w14:val="none"/>
              </w:rPr>
              <w:t>The policy tool outlines the creation of a national carbon credit registry (</w:t>
            </w:r>
            <w:proofErr w:type="spellStart"/>
            <w:r w:rsidRPr="001C3DA9">
              <w:rPr>
                <w:rFonts w:eastAsia="Times New Roman" w:cstheme="minorHAnsi"/>
                <w:kern w:val="0"/>
                <w:lang w:eastAsia="en-GB"/>
                <w14:ligatures w14:val="none"/>
              </w:rPr>
              <w:t>ReNaMi</w:t>
            </w:r>
            <w:proofErr w:type="spellEnd"/>
            <w:r w:rsidRPr="001C3DA9">
              <w:rPr>
                <w:rFonts w:eastAsia="Times New Roman" w:cstheme="minorHAnsi"/>
                <w:kern w:val="0"/>
                <w:lang w:eastAsia="en-GB"/>
                <w14:ligatures w14:val="none"/>
              </w:rPr>
              <w:t>) and a National Authorization System for Mitigation Outcomes (SANAM) to enable transparent trading and intermediation of carbon credits</w:t>
            </w:r>
            <w:r w:rsidR="00D2077E">
              <w:rPr>
                <w:rFonts w:eastAsia="Times New Roman" w:cstheme="minorHAnsi"/>
                <w:kern w:val="0"/>
                <w:lang w:eastAsia="en-GB"/>
                <w14:ligatures w14:val="none"/>
              </w:rPr>
              <w:t xml:space="preserve">. </w:t>
            </w:r>
            <w:r w:rsidRPr="001C3DA9">
              <w:rPr>
                <w:rFonts w:eastAsia="Times New Roman" w:cstheme="minorHAnsi"/>
                <w:kern w:val="0"/>
                <w:lang w:eastAsia="en-GB"/>
                <w14:ligatures w14:val="none"/>
              </w:rPr>
              <w:t>Although it does not define carbon credits as a legal financial instrument under securities law, it sets out governance structures and rules to regulate their exchange and use for both voluntary and international compliance markets.</w:t>
            </w:r>
          </w:p>
          <w:p w:rsidRPr="009C4D10" w:rsidR="00392F82" w:rsidP="001C3DA9" w:rsidRDefault="001C3DA9" w14:paraId="6108FF67" w14:textId="5518D291">
            <w:pPr>
              <w:textAlignment w:val="baseline"/>
              <w:rPr>
                <w:rFonts w:eastAsia="Times New Roman" w:cstheme="minorHAnsi"/>
                <w:kern w:val="0"/>
                <w:lang w:eastAsia="en-GB"/>
                <w14:ligatures w14:val="none"/>
              </w:rPr>
            </w:pPr>
            <w:r w:rsidRPr="001C3DA9">
              <w:rPr>
                <w:rFonts w:eastAsia="Times New Roman" w:cstheme="minorHAnsi"/>
                <w:kern w:val="0"/>
                <w:lang w:eastAsia="en-GB"/>
                <w14:ligatures w14:val="none"/>
              </w:rPr>
              <w:t>Additionally, it encourages bilateral agreements and Article 6.2 transactions, which imply market-based trading mechanisms</w:t>
            </w:r>
            <w:r w:rsidR="00D2077E">
              <w:rPr>
                <w:rFonts w:eastAsia="Times New Roman" w:cstheme="minorHAnsi"/>
                <w:kern w:val="0"/>
                <w:lang w:eastAsia="en-GB"/>
                <w14:ligatures w14:val="none"/>
              </w:rPr>
              <w:t>.</w:t>
            </w: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0DBF1FE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D2077E" w:rsidR="00D2077E" w:rsidP="00D2077E" w:rsidRDefault="00D2077E" w14:paraId="360C0443" w14:textId="6A6B4DD9">
            <w:pPr>
              <w:textAlignment w:val="baseline"/>
              <w:rPr>
                <w:rFonts w:eastAsia="Times New Roman" w:cstheme="minorHAnsi"/>
                <w:kern w:val="0"/>
                <w:lang w:eastAsia="en-GB"/>
                <w14:ligatures w14:val="none"/>
              </w:rPr>
            </w:pPr>
            <w:r w:rsidRPr="00D2077E">
              <w:rPr>
                <w:rFonts w:eastAsia="Times New Roman" w:cstheme="minorHAnsi"/>
                <w:kern w:val="0"/>
                <w:lang w:eastAsia="en-GB"/>
                <w14:ligatures w14:val="none"/>
              </w:rPr>
              <w:t>The policy tool ensures market integrity through the following mechanisms (see pp. 30–35):</w:t>
            </w:r>
            <w:r>
              <w:rPr>
                <w:rFonts w:eastAsia="Times New Roman" w:cstheme="minorHAnsi"/>
                <w:kern w:val="0"/>
                <w:lang w:eastAsia="en-GB"/>
                <w14:ligatures w14:val="none"/>
              </w:rPr>
              <w:t xml:space="preserve"> </w:t>
            </w:r>
            <w:proofErr w:type="spellStart"/>
            <w:r>
              <w:rPr>
                <w:rFonts w:eastAsia="Times New Roman" w:cstheme="minorHAnsi"/>
                <w:kern w:val="0"/>
                <w:lang w:eastAsia="en-GB"/>
                <w14:ligatures w14:val="none"/>
              </w:rPr>
              <w:t>i</w:t>
            </w:r>
            <w:proofErr w:type="spellEnd"/>
            <w:r>
              <w:rPr>
                <w:rFonts w:eastAsia="Times New Roman" w:cstheme="minorHAnsi"/>
                <w:kern w:val="0"/>
                <w:lang w:eastAsia="en-GB"/>
                <w14:ligatures w14:val="none"/>
              </w:rPr>
              <w:t xml:space="preserve">) </w:t>
            </w:r>
            <w:r w:rsidRPr="00D2077E">
              <w:rPr>
                <w:rFonts w:eastAsia="Times New Roman" w:cstheme="minorHAnsi"/>
                <w:kern w:val="0"/>
                <w:lang w:eastAsia="en-GB"/>
                <w14:ligatures w14:val="none"/>
              </w:rPr>
              <w:t xml:space="preserve">All carbon credit transactions must be registered in </w:t>
            </w:r>
            <w:proofErr w:type="spellStart"/>
            <w:r w:rsidRPr="00D2077E">
              <w:rPr>
                <w:rFonts w:eastAsia="Times New Roman" w:cstheme="minorHAnsi"/>
                <w:kern w:val="0"/>
                <w:lang w:eastAsia="en-GB"/>
                <w14:ligatures w14:val="none"/>
              </w:rPr>
              <w:t>ReNaMi</w:t>
            </w:r>
            <w:proofErr w:type="spellEnd"/>
            <w:r>
              <w:rPr>
                <w:rFonts w:eastAsia="Times New Roman" w:cstheme="minorHAnsi"/>
                <w:kern w:val="0"/>
                <w:lang w:eastAsia="en-GB"/>
                <w14:ligatures w14:val="none"/>
              </w:rPr>
              <w:t>; ii) D</w:t>
            </w:r>
            <w:r w:rsidRPr="00D2077E">
              <w:rPr>
                <w:rFonts w:eastAsia="Times New Roman" w:cstheme="minorHAnsi"/>
                <w:kern w:val="0"/>
                <w:lang w:eastAsia="en-GB"/>
                <w14:ligatures w14:val="none"/>
              </w:rPr>
              <w:t>ouble counting is prevented through the application of corresponding adjustments, in line with Article 6 of the Paris Agreement</w:t>
            </w:r>
            <w:r>
              <w:rPr>
                <w:rFonts w:eastAsia="Times New Roman" w:cstheme="minorHAnsi"/>
                <w:kern w:val="0"/>
                <w:lang w:eastAsia="en-GB"/>
                <w14:ligatures w14:val="none"/>
              </w:rPr>
              <w:t xml:space="preserve">; c) </w:t>
            </w:r>
            <w:r w:rsidRPr="00D2077E">
              <w:rPr>
                <w:rFonts w:eastAsia="Times New Roman" w:cstheme="minorHAnsi"/>
                <w:kern w:val="0"/>
                <w:lang w:eastAsia="en-GB"/>
                <w14:ligatures w14:val="none"/>
              </w:rPr>
              <w:t>Only credits that are verified under robust international standards (e.g., CDM, VCS, Gold Standard) and aligned with national mitigation goals are eligible</w:t>
            </w:r>
            <w:r>
              <w:rPr>
                <w:rFonts w:eastAsia="Times New Roman" w:cstheme="minorHAnsi"/>
                <w:kern w:val="0"/>
                <w:lang w:eastAsia="en-GB"/>
                <w14:ligatures w14:val="none"/>
              </w:rPr>
              <w:t xml:space="preserve">; d) </w:t>
            </w:r>
            <w:r w:rsidRPr="00D2077E">
              <w:rPr>
                <w:rFonts w:eastAsia="Times New Roman" w:cstheme="minorHAnsi"/>
                <w:kern w:val="0"/>
                <w:lang w:eastAsia="en-GB"/>
                <w14:ligatures w14:val="none"/>
              </w:rPr>
              <w:t>The system includes criteria for transparency, environmental integrity, and social safeguards, applicable to both project developers and buyers.</w:t>
            </w:r>
          </w:p>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43"/>
      <w:r w:rsidRPr="009C4D10">
        <w:lastRenderedPageBreak/>
        <w:t>Domain 5: Prudential Tools</w:t>
      </w:r>
      <w:bookmarkEnd w:id="43"/>
    </w:p>
    <w:p w:rsidRPr="00AF3FC6" w:rsidR="00AF3FC6" w:rsidP="00AF3FC6" w:rsidRDefault="00455E1B" w14:paraId="3E16913F" w14:textId="21F34EF6">
      <w:pPr>
        <w:pStyle w:val="Ttulo2"/>
      </w:pPr>
      <w:bookmarkStart w:name="_Toc198223632" w:id="44"/>
      <w:r>
        <w:t xml:space="preserve">Section 5.1: </w:t>
      </w:r>
      <w:r w:rsidRPr="009C4D10" w:rsidR="00AF3FC6">
        <w:t>Who is being targeted?</w:t>
      </w:r>
      <w:bookmarkEnd w:id="44"/>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5"/>
      <w:r>
        <w:rPr>
          <w:lang w:val="en-SG"/>
        </w:rPr>
        <w:lastRenderedPageBreak/>
        <w:t xml:space="preserve">Section 5.2: </w:t>
      </w:r>
      <w:r w:rsidRPr="009C4D10" w:rsidR="00FE66B1">
        <w:rPr>
          <w:lang w:val="en-SG"/>
        </w:rPr>
        <w:t>Policy goal or function of the policy tool</w:t>
      </w:r>
      <w:bookmarkEnd w:id="45"/>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6"/>
      <w:bookmarkStart w:name="_Toc198223634" w:id="47"/>
      <w:bookmarkEnd w:id="46"/>
      <w:r>
        <w:t>Section 5.</w:t>
      </w:r>
      <w:r w:rsidR="00455E1B">
        <w:t>2.</w:t>
      </w:r>
      <w:r>
        <w:t xml:space="preserve">1: </w:t>
      </w:r>
      <w:r w:rsidRPr="009C4D10" w:rsidR="00B24E10">
        <w:t>Risk management and governance</w:t>
      </w:r>
      <w:bookmarkEnd w:id="47"/>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8"/>
            <w:bookmarkEnd w:id="48"/>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9"/>
      <w:bookmarkStart w:name="_Toc198223635" w:id="50"/>
      <w:bookmarkEnd w:id="49"/>
      <w:r>
        <w:t>Section 5.2</w:t>
      </w:r>
      <w:r w:rsidR="00455E1B">
        <w:t>.2</w:t>
      </w:r>
      <w:r>
        <w:t xml:space="preserve">: </w:t>
      </w:r>
      <w:r w:rsidRPr="009C4D10">
        <w:t>Scenario analysis and stress-testing</w:t>
      </w:r>
      <w:bookmarkEnd w:id="50"/>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51"/>
            <w:bookmarkEnd w:id="51"/>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52"/>
      <w:bookmarkStart w:name="_Toc198223636" w:id="53"/>
      <w:bookmarkEnd w:id="52"/>
      <w:r>
        <w:t>Section 5.</w:t>
      </w:r>
      <w:r w:rsidR="00455E1B">
        <w:t>2.</w:t>
      </w:r>
      <w:r>
        <w:t xml:space="preserve">3: </w:t>
      </w:r>
      <w:r w:rsidRPr="009C4D10">
        <w:t>Capital and Liquidity Requirements</w:t>
      </w:r>
      <w:bookmarkEnd w:id="53"/>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4"/>
            <w:bookmarkEnd w:id="54"/>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5"/>
      <w:r>
        <w:t xml:space="preserve">Section 5.3: </w:t>
      </w:r>
      <w:r w:rsidR="009E1E61">
        <w:t>Standards and Frameworks</w:t>
      </w:r>
      <w:bookmarkEnd w:id="55"/>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3">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4">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6"/>
      <w:r>
        <w:lastRenderedPageBreak/>
        <w:t>Domain 6: Methane Abatement</w:t>
      </w:r>
      <w:bookmarkEnd w:id="56"/>
    </w:p>
    <w:p w:rsidR="002F0752" w:rsidP="002F0752" w:rsidRDefault="002F0752" w14:paraId="144EDD37" w14:textId="77777777">
      <w:pPr>
        <w:pStyle w:val="Ttulo2"/>
        <w:rPr>
          <w:rFonts w:ascii="Calibri" w:hAnsi="Calibri" w:eastAsia="Calibri" w:cs="Calibri"/>
          <w:color w:val="000000" w:themeColor="text1"/>
        </w:rPr>
      </w:pPr>
      <w:bookmarkStart w:name="_Toc198223639" w:id="57"/>
      <w:r>
        <w:t>Section 6.1: Who is being targeted?</w:t>
      </w:r>
      <w:bookmarkEnd w:id="57"/>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8"/>
      <w:r>
        <w:rPr>
          <w:rFonts w:eastAsia="Arial"/>
        </w:rPr>
        <w:t xml:space="preserve">Section 6.2: </w:t>
      </w:r>
      <w:r w:rsidRPr="26567C6B">
        <w:rPr>
          <w:rFonts w:eastAsia="Arial"/>
        </w:rPr>
        <w:t>National targets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9"/>
      <w:r>
        <w:rPr>
          <w:rFonts w:eastAsia="Arial"/>
        </w:rPr>
        <w:lastRenderedPageBreak/>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60"/>
      <w:r>
        <w:rPr>
          <w:rFonts w:eastAsia="Arial"/>
        </w:rPr>
        <w:t xml:space="preserve">Section 6.4: </w:t>
      </w:r>
      <w:r w:rsidRPr="26567C6B">
        <w:rPr>
          <w:rFonts w:eastAsia="Arial"/>
        </w:rPr>
        <w:t>Source-specific rules</w:t>
      </w:r>
      <w:bookmarkEnd w:id="60"/>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61"/>
      <w:r>
        <w:rPr>
          <w:rFonts w:eastAsia="Arial"/>
        </w:rPr>
        <w:t xml:space="preserve">6.4.1 </w:t>
      </w:r>
      <w:r w:rsidRPr="26567C6B">
        <w:rPr>
          <w:rFonts w:eastAsia="Arial"/>
        </w:rPr>
        <w:t>Oil and Gas-Related Methane Emissions</w:t>
      </w:r>
      <w:bookmarkEnd w:id="61"/>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62"/>
      <w:r>
        <w:rPr>
          <w:rFonts w:eastAsia="Arial"/>
        </w:rPr>
        <w:t>6.</w:t>
      </w:r>
      <w:r w:rsidRPr="26567C6B">
        <w:rPr>
          <w:rFonts w:eastAsia="Arial"/>
        </w:rPr>
        <w:t>4.2 Coal-Related Methane Emissions</w:t>
      </w:r>
      <w:bookmarkEnd w:id="62"/>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63"/>
      <w:r>
        <w:rPr>
          <w:rFonts w:eastAsia="Arial"/>
        </w:rPr>
        <w:t>6.</w:t>
      </w:r>
      <w:r w:rsidRPr="26567C6B">
        <w:rPr>
          <w:rFonts w:eastAsia="Arial"/>
        </w:rPr>
        <w:t>4.3 Agriculture-Related Methane Emissions</w:t>
      </w:r>
      <w:bookmarkEnd w:id="63"/>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4"/>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5"/>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9101E6" w:rsidP="00874E39" w:rsidRDefault="009101E6" w14:paraId="5EEA9DAC" w14:textId="77777777">
      <w:r>
        <w:separator/>
      </w:r>
    </w:p>
  </w:endnote>
  <w:endnote w:type="continuationSeparator" w:id="0">
    <w:p w:rsidR="009101E6" w:rsidP="00874E39" w:rsidRDefault="009101E6" w14:paraId="1701D8A8" w14:textId="77777777">
      <w:r>
        <w:continuationSeparator/>
      </w:r>
    </w:p>
  </w:endnote>
  <w:endnote w:type="continuationNotice" w:id="1">
    <w:p w:rsidR="009101E6" w:rsidRDefault="009101E6" w14:paraId="2FB93A9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62336;mso-position-horizontal-relative:margin;mso-position-vertical-relative:margin" coordsize="29832,7194" o:spid="_x0000_s1026" w14:anchorId="1C2B9A19"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9101E6" w:rsidP="00874E39" w:rsidRDefault="009101E6" w14:paraId="040E35B8" w14:textId="77777777">
      <w:r>
        <w:separator/>
      </w:r>
    </w:p>
  </w:footnote>
  <w:footnote w:type="continuationSeparator" w:id="0">
    <w:p w:rsidR="009101E6" w:rsidP="00874E39" w:rsidRDefault="009101E6" w14:paraId="2ADA3848" w14:textId="77777777">
      <w:r>
        <w:continuationSeparator/>
      </w:r>
    </w:p>
  </w:footnote>
  <w:footnote w:type="continuationNotice" w:id="1">
    <w:p w:rsidR="009101E6" w:rsidRDefault="009101E6" w14:paraId="7DFE037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dirty"/>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56B7E"/>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381"/>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3F6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A60"/>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D6F"/>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597"/>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5AD"/>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9B5"/>
    <w:rsid w:val="001C3DA9"/>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B72"/>
    <w:rsid w:val="001D7E76"/>
    <w:rsid w:val="001E19EF"/>
    <w:rsid w:val="001E1CEE"/>
    <w:rsid w:val="001E1D2E"/>
    <w:rsid w:val="001E27A9"/>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45F"/>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55A"/>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924"/>
    <w:rsid w:val="00247DE7"/>
    <w:rsid w:val="00247F5B"/>
    <w:rsid w:val="002500FA"/>
    <w:rsid w:val="00250ED8"/>
    <w:rsid w:val="00250F54"/>
    <w:rsid w:val="0025129B"/>
    <w:rsid w:val="0025449C"/>
    <w:rsid w:val="002552C9"/>
    <w:rsid w:val="0025765F"/>
    <w:rsid w:val="00257732"/>
    <w:rsid w:val="0026208E"/>
    <w:rsid w:val="00264CBC"/>
    <w:rsid w:val="0026588F"/>
    <w:rsid w:val="0026642F"/>
    <w:rsid w:val="002679A5"/>
    <w:rsid w:val="0027067C"/>
    <w:rsid w:val="00270A4D"/>
    <w:rsid w:val="00272D9A"/>
    <w:rsid w:val="002737EF"/>
    <w:rsid w:val="00274335"/>
    <w:rsid w:val="00274864"/>
    <w:rsid w:val="002749DC"/>
    <w:rsid w:val="00274B22"/>
    <w:rsid w:val="00276E34"/>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1CB1"/>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6DA"/>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57E59"/>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4EF"/>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393"/>
    <w:rsid w:val="003B7854"/>
    <w:rsid w:val="003C16DA"/>
    <w:rsid w:val="003C5BA2"/>
    <w:rsid w:val="003C6211"/>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003"/>
    <w:rsid w:val="00463D40"/>
    <w:rsid w:val="00464C5E"/>
    <w:rsid w:val="0046509D"/>
    <w:rsid w:val="00465B8D"/>
    <w:rsid w:val="00465BE4"/>
    <w:rsid w:val="004663FD"/>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53A"/>
    <w:rsid w:val="00487AFB"/>
    <w:rsid w:val="00490235"/>
    <w:rsid w:val="0049168C"/>
    <w:rsid w:val="00493986"/>
    <w:rsid w:val="00493E0A"/>
    <w:rsid w:val="00494A74"/>
    <w:rsid w:val="00494B67"/>
    <w:rsid w:val="00496413"/>
    <w:rsid w:val="004A01E4"/>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10"/>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7AC"/>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294"/>
    <w:rsid w:val="00563432"/>
    <w:rsid w:val="00565B9C"/>
    <w:rsid w:val="00566FDB"/>
    <w:rsid w:val="00567E3D"/>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18E"/>
    <w:rsid w:val="005A16B4"/>
    <w:rsid w:val="005A2023"/>
    <w:rsid w:val="005A270C"/>
    <w:rsid w:val="005A2821"/>
    <w:rsid w:val="005A2900"/>
    <w:rsid w:val="005A383B"/>
    <w:rsid w:val="005A4E4C"/>
    <w:rsid w:val="005A54A2"/>
    <w:rsid w:val="005A5613"/>
    <w:rsid w:val="005A76C9"/>
    <w:rsid w:val="005B355B"/>
    <w:rsid w:val="005B4539"/>
    <w:rsid w:val="005B4672"/>
    <w:rsid w:val="005C0040"/>
    <w:rsid w:val="005C327C"/>
    <w:rsid w:val="005C4420"/>
    <w:rsid w:val="005C5681"/>
    <w:rsid w:val="005C6A1D"/>
    <w:rsid w:val="005C765C"/>
    <w:rsid w:val="005C7DF6"/>
    <w:rsid w:val="005D02C9"/>
    <w:rsid w:val="005D0D83"/>
    <w:rsid w:val="005D55BE"/>
    <w:rsid w:val="005D744F"/>
    <w:rsid w:val="005D7CD4"/>
    <w:rsid w:val="005E0296"/>
    <w:rsid w:val="005E264E"/>
    <w:rsid w:val="005E2F27"/>
    <w:rsid w:val="005E33DE"/>
    <w:rsid w:val="005E50FD"/>
    <w:rsid w:val="005E603A"/>
    <w:rsid w:val="005E62F9"/>
    <w:rsid w:val="005E6D04"/>
    <w:rsid w:val="005E73E0"/>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6EA"/>
    <w:rsid w:val="0060378D"/>
    <w:rsid w:val="00603B3F"/>
    <w:rsid w:val="00605595"/>
    <w:rsid w:val="00606149"/>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65E"/>
    <w:rsid w:val="0063575E"/>
    <w:rsid w:val="00636096"/>
    <w:rsid w:val="00637FAE"/>
    <w:rsid w:val="0064134E"/>
    <w:rsid w:val="00641484"/>
    <w:rsid w:val="00641E18"/>
    <w:rsid w:val="00641ECB"/>
    <w:rsid w:val="006422ED"/>
    <w:rsid w:val="00642F22"/>
    <w:rsid w:val="006450DB"/>
    <w:rsid w:val="0064585A"/>
    <w:rsid w:val="00646CCB"/>
    <w:rsid w:val="00647D9B"/>
    <w:rsid w:val="00651DBE"/>
    <w:rsid w:val="006529EC"/>
    <w:rsid w:val="00652C0B"/>
    <w:rsid w:val="00653F30"/>
    <w:rsid w:val="006540A8"/>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169"/>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C83"/>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36D"/>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3DD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031"/>
    <w:rsid w:val="008354C6"/>
    <w:rsid w:val="00835A06"/>
    <w:rsid w:val="00836174"/>
    <w:rsid w:val="00836AFC"/>
    <w:rsid w:val="008377D4"/>
    <w:rsid w:val="00840208"/>
    <w:rsid w:val="00840D64"/>
    <w:rsid w:val="0084197D"/>
    <w:rsid w:val="00842886"/>
    <w:rsid w:val="008432F5"/>
    <w:rsid w:val="008434EB"/>
    <w:rsid w:val="0084380D"/>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584C"/>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D74"/>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1E6"/>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031"/>
    <w:rsid w:val="009B6F1E"/>
    <w:rsid w:val="009B761C"/>
    <w:rsid w:val="009B7EAD"/>
    <w:rsid w:val="009C1A3E"/>
    <w:rsid w:val="009C22F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414"/>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912"/>
    <w:rsid w:val="00A81A71"/>
    <w:rsid w:val="00A835C0"/>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6810"/>
    <w:rsid w:val="00AC6ECF"/>
    <w:rsid w:val="00AC7B6B"/>
    <w:rsid w:val="00AD1216"/>
    <w:rsid w:val="00AD1992"/>
    <w:rsid w:val="00AD1BC7"/>
    <w:rsid w:val="00AD4477"/>
    <w:rsid w:val="00AD4F51"/>
    <w:rsid w:val="00AD5285"/>
    <w:rsid w:val="00AD54D3"/>
    <w:rsid w:val="00AD70E0"/>
    <w:rsid w:val="00AE0028"/>
    <w:rsid w:val="00AE00FE"/>
    <w:rsid w:val="00AE0451"/>
    <w:rsid w:val="00AE0803"/>
    <w:rsid w:val="00AE0ADB"/>
    <w:rsid w:val="00AE2662"/>
    <w:rsid w:val="00AE3AD5"/>
    <w:rsid w:val="00AE3CBD"/>
    <w:rsid w:val="00AE5D21"/>
    <w:rsid w:val="00AE7C5F"/>
    <w:rsid w:val="00AF08A8"/>
    <w:rsid w:val="00AF08FC"/>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C1C"/>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43A"/>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04E"/>
    <w:rsid w:val="00BA01DD"/>
    <w:rsid w:val="00BA08E0"/>
    <w:rsid w:val="00BA118E"/>
    <w:rsid w:val="00BA1D39"/>
    <w:rsid w:val="00BA3247"/>
    <w:rsid w:val="00BA42E4"/>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C04"/>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BF7DA0"/>
    <w:rsid w:val="00C01031"/>
    <w:rsid w:val="00C01384"/>
    <w:rsid w:val="00C01AF9"/>
    <w:rsid w:val="00C0274C"/>
    <w:rsid w:val="00C02F33"/>
    <w:rsid w:val="00C1090B"/>
    <w:rsid w:val="00C10DD0"/>
    <w:rsid w:val="00C1161C"/>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1C"/>
    <w:rsid w:val="00C522AB"/>
    <w:rsid w:val="00C54002"/>
    <w:rsid w:val="00C55D72"/>
    <w:rsid w:val="00C56D45"/>
    <w:rsid w:val="00C57511"/>
    <w:rsid w:val="00C57E96"/>
    <w:rsid w:val="00C6146F"/>
    <w:rsid w:val="00C62AF0"/>
    <w:rsid w:val="00C636BA"/>
    <w:rsid w:val="00C63A43"/>
    <w:rsid w:val="00C648D8"/>
    <w:rsid w:val="00C65DA8"/>
    <w:rsid w:val="00C6612A"/>
    <w:rsid w:val="00C6668B"/>
    <w:rsid w:val="00C666FB"/>
    <w:rsid w:val="00C66EE0"/>
    <w:rsid w:val="00C671B1"/>
    <w:rsid w:val="00C6780B"/>
    <w:rsid w:val="00C67CA4"/>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041"/>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77E"/>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EB1"/>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4FEB"/>
    <w:rsid w:val="00DB61E7"/>
    <w:rsid w:val="00DB6C3C"/>
    <w:rsid w:val="00DB74C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62F"/>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00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BB3"/>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73F"/>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74231B"/>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245984">
      <w:bodyDiv w:val="1"/>
      <w:marLeft w:val="0"/>
      <w:marRight w:val="0"/>
      <w:marTop w:val="0"/>
      <w:marBottom w:val="0"/>
      <w:divBdr>
        <w:top w:val="none" w:sz="0" w:space="0" w:color="auto"/>
        <w:left w:val="none" w:sz="0" w:space="0" w:color="auto"/>
        <w:bottom w:val="none" w:sz="0" w:space="0" w:color="auto"/>
        <w:right w:val="none" w:sz="0" w:space="0" w:color="auto"/>
      </w:divBdr>
    </w:div>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150483247">
      <w:bodyDiv w:val="1"/>
      <w:marLeft w:val="0"/>
      <w:marRight w:val="0"/>
      <w:marTop w:val="0"/>
      <w:marBottom w:val="0"/>
      <w:divBdr>
        <w:top w:val="none" w:sz="0" w:space="0" w:color="auto"/>
        <w:left w:val="none" w:sz="0" w:space="0" w:color="auto"/>
        <w:bottom w:val="none" w:sz="0" w:space="0" w:color="auto"/>
        <w:right w:val="none" w:sz="0" w:space="0" w:color="auto"/>
      </w:divBdr>
    </w:div>
    <w:div w:id="183249849">
      <w:bodyDiv w:val="1"/>
      <w:marLeft w:val="0"/>
      <w:marRight w:val="0"/>
      <w:marTop w:val="0"/>
      <w:marBottom w:val="0"/>
      <w:divBdr>
        <w:top w:val="none" w:sz="0" w:space="0" w:color="auto"/>
        <w:left w:val="none" w:sz="0" w:space="0" w:color="auto"/>
        <w:bottom w:val="none" w:sz="0" w:space="0" w:color="auto"/>
        <w:right w:val="none" w:sz="0" w:space="0" w:color="auto"/>
      </w:divBdr>
    </w:div>
    <w:div w:id="263272680">
      <w:bodyDiv w:val="1"/>
      <w:marLeft w:val="0"/>
      <w:marRight w:val="0"/>
      <w:marTop w:val="0"/>
      <w:marBottom w:val="0"/>
      <w:divBdr>
        <w:top w:val="none" w:sz="0" w:space="0" w:color="auto"/>
        <w:left w:val="none" w:sz="0" w:space="0" w:color="auto"/>
        <w:bottom w:val="none" w:sz="0" w:space="0" w:color="auto"/>
        <w:right w:val="none" w:sz="0" w:space="0" w:color="auto"/>
      </w:divBdr>
    </w:div>
    <w:div w:id="289432704">
      <w:bodyDiv w:val="1"/>
      <w:marLeft w:val="0"/>
      <w:marRight w:val="0"/>
      <w:marTop w:val="0"/>
      <w:marBottom w:val="0"/>
      <w:divBdr>
        <w:top w:val="none" w:sz="0" w:space="0" w:color="auto"/>
        <w:left w:val="none" w:sz="0" w:space="0" w:color="auto"/>
        <w:bottom w:val="none" w:sz="0" w:space="0" w:color="auto"/>
        <w:right w:val="none" w:sz="0" w:space="0" w:color="auto"/>
      </w:divBdr>
    </w:div>
    <w:div w:id="38020693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311558">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864037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1808">
      <w:bodyDiv w:val="1"/>
      <w:marLeft w:val="0"/>
      <w:marRight w:val="0"/>
      <w:marTop w:val="0"/>
      <w:marBottom w:val="0"/>
      <w:divBdr>
        <w:top w:val="none" w:sz="0" w:space="0" w:color="auto"/>
        <w:left w:val="none" w:sz="0" w:space="0" w:color="auto"/>
        <w:bottom w:val="none" w:sz="0" w:space="0" w:color="auto"/>
        <w:right w:val="none" w:sz="0" w:space="0" w:color="auto"/>
      </w:divBdr>
    </w:div>
    <w:div w:id="995180694">
      <w:bodyDiv w:val="1"/>
      <w:marLeft w:val="0"/>
      <w:marRight w:val="0"/>
      <w:marTop w:val="0"/>
      <w:marBottom w:val="0"/>
      <w:divBdr>
        <w:top w:val="none" w:sz="0" w:space="0" w:color="auto"/>
        <w:left w:val="none" w:sz="0" w:space="0" w:color="auto"/>
        <w:bottom w:val="none" w:sz="0" w:space="0" w:color="auto"/>
        <w:right w:val="none" w:sz="0" w:space="0" w:color="auto"/>
      </w:divBdr>
    </w:div>
    <w:div w:id="998117789">
      <w:bodyDiv w:val="1"/>
      <w:marLeft w:val="0"/>
      <w:marRight w:val="0"/>
      <w:marTop w:val="0"/>
      <w:marBottom w:val="0"/>
      <w:divBdr>
        <w:top w:val="none" w:sz="0" w:space="0" w:color="auto"/>
        <w:left w:val="none" w:sz="0" w:space="0" w:color="auto"/>
        <w:bottom w:val="none" w:sz="0" w:space="0" w:color="auto"/>
        <w:right w:val="none" w:sz="0" w:space="0" w:color="auto"/>
      </w:divBdr>
    </w:div>
    <w:div w:id="10368092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642839">
      <w:bodyDiv w:val="1"/>
      <w:marLeft w:val="0"/>
      <w:marRight w:val="0"/>
      <w:marTop w:val="0"/>
      <w:marBottom w:val="0"/>
      <w:divBdr>
        <w:top w:val="none" w:sz="0" w:space="0" w:color="auto"/>
        <w:left w:val="none" w:sz="0" w:space="0" w:color="auto"/>
        <w:bottom w:val="none" w:sz="0" w:space="0" w:color="auto"/>
        <w:right w:val="none" w:sz="0" w:space="0" w:color="auto"/>
      </w:divBdr>
    </w:div>
    <w:div w:id="1566183597">
      <w:bodyDiv w:val="1"/>
      <w:marLeft w:val="0"/>
      <w:marRight w:val="0"/>
      <w:marTop w:val="0"/>
      <w:marBottom w:val="0"/>
      <w:divBdr>
        <w:top w:val="none" w:sz="0" w:space="0" w:color="auto"/>
        <w:left w:val="none" w:sz="0" w:space="0" w:color="auto"/>
        <w:bottom w:val="none" w:sz="0" w:space="0" w:color="auto"/>
        <w:right w:val="none" w:sz="0" w:space="0" w:color="auto"/>
      </w:divBdr>
    </w:div>
    <w:div w:id="1658725331">
      <w:bodyDiv w:val="1"/>
      <w:marLeft w:val="0"/>
      <w:marRight w:val="0"/>
      <w:marTop w:val="0"/>
      <w:marBottom w:val="0"/>
      <w:divBdr>
        <w:top w:val="none" w:sz="0" w:space="0" w:color="auto"/>
        <w:left w:val="none" w:sz="0" w:space="0" w:color="auto"/>
        <w:bottom w:val="none" w:sz="0" w:space="0" w:color="auto"/>
        <w:right w:val="none" w:sz="0" w:space="0" w:color="auto"/>
      </w:divBdr>
    </w:div>
    <w:div w:id="1691180313">
      <w:bodyDiv w:val="1"/>
      <w:marLeft w:val="0"/>
      <w:marRight w:val="0"/>
      <w:marTop w:val="0"/>
      <w:marBottom w:val="0"/>
      <w:divBdr>
        <w:top w:val="none" w:sz="0" w:space="0" w:color="auto"/>
        <w:left w:val="none" w:sz="0" w:space="0" w:color="auto"/>
        <w:bottom w:val="none" w:sz="0" w:space="0" w:color="auto"/>
        <w:right w:val="none" w:sz="0" w:space="0" w:color="auto"/>
      </w:divBdr>
    </w:div>
    <w:div w:id="1707944094">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0730931">
      <w:bodyDiv w:val="1"/>
      <w:marLeft w:val="0"/>
      <w:marRight w:val="0"/>
      <w:marTop w:val="0"/>
      <w:marBottom w:val="0"/>
      <w:divBdr>
        <w:top w:val="none" w:sz="0" w:space="0" w:color="auto"/>
        <w:left w:val="none" w:sz="0" w:space="0" w:color="auto"/>
        <w:bottom w:val="none" w:sz="0" w:space="0" w:color="auto"/>
        <w:right w:val="none" w:sz="0" w:space="0" w:color="auto"/>
      </w:divBdr>
    </w:div>
    <w:div w:id="2023506493">
      <w:bodyDiv w:val="1"/>
      <w:marLeft w:val="0"/>
      <w:marRight w:val="0"/>
      <w:marTop w:val="0"/>
      <w:marBottom w:val="0"/>
      <w:divBdr>
        <w:top w:val="none" w:sz="0" w:space="0" w:color="auto"/>
        <w:left w:val="none" w:sz="0" w:space="0" w:color="auto"/>
        <w:bottom w:val="none" w:sz="0" w:space="0" w:color="auto"/>
        <w:right w:val="none" w:sz="0" w:space="0" w:color="auto"/>
      </w:divBdr>
      <w:divsChild>
        <w:div w:id="740173114">
          <w:blockQuote w:val="1"/>
          <w:marLeft w:val="720"/>
          <w:marRight w:val="720"/>
          <w:marTop w:val="100"/>
          <w:marBottom w:val="100"/>
          <w:divBdr>
            <w:top w:val="none" w:sz="0" w:space="0" w:color="auto"/>
            <w:left w:val="none" w:sz="0" w:space="0" w:color="auto"/>
            <w:bottom w:val="none" w:sz="0" w:space="0" w:color="auto"/>
            <w:right w:val="none" w:sz="0" w:space="0" w:color="auto"/>
          </w:divBdr>
        </w:div>
        <w:div w:id="928346090">
          <w:blockQuote w:val="1"/>
          <w:marLeft w:val="720"/>
          <w:marRight w:val="720"/>
          <w:marTop w:val="100"/>
          <w:marBottom w:val="100"/>
          <w:divBdr>
            <w:top w:val="none" w:sz="0" w:space="0" w:color="auto"/>
            <w:left w:val="none" w:sz="0" w:space="0" w:color="auto"/>
            <w:bottom w:val="none" w:sz="0" w:space="0" w:color="auto"/>
            <w:right w:val="none" w:sz="0" w:space="0" w:color="auto"/>
          </w:divBdr>
        </w:div>
        <w:div w:id="542813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199962">
      <w:bodyDiv w:val="1"/>
      <w:marLeft w:val="0"/>
      <w:marRight w:val="0"/>
      <w:marTop w:val="0"/>
      <w:marBottom w:val="0"/>
      <w:divBdr>
        <w:top w:val="none" w:sz="0" w:space="0" w:color="auto"/>
        <w:left w:val="none" w:sz="0" w:space="0" w:color="auto"/>
        <w:bottom w:val="none" w:sz="0" w:space="0" w:color="auto"/>
        <w:right w:val="none" w:sz="0" w:space="0" w:color="auto"/>
      </w:divBdr>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1150223/https://www.boletinoficial.gob.ar/detalleAviso/primera/298356/20231114" TargetMode="External" Id="rId17" /><Relationship Type="http://schemas.openxmlformats.org/officeDocument/2006/relationships/header" Target="header2.xml" Id="rId25" /><Relationship Type="http://schemas.openxmlformats.org/officeDocument/2006/relationships/customXml" Target="../customXml/item2.xml" Id="rId2" /><Relationship Type="http://schemas.openxmlformats.org/officeDocument/2006/relationships/footer" Target="footer3.xml" Id="rId16" /><Relationship Type="http://schemas.microsoft.com/office/2016/09/relationships/commentsIds" Target="commentsIds.xml" Id="rId20" /><Relationship Type="http://schemas.microsoft.com/office/2019/05/relationships/documenttasks" Target="documenttasks/documenttasks1.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fsb.org/uploads/P131022-1.pdf" TargetMode="Externa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ww.bis.org/fsi/fsibriefs18.pdf" TargetMode="External" Id="rId23" /><Relationship Type="http://schemas.openxmlformats.org/officeDocument/2006/relationships/theme" Target="theme/theme1.xml" Id="rId28" /><Relationship Type="http://schemas.openxmlformats.org/officeDocument/2006/relationships/endnotes" Target="endnotes.xml" Id="rId10" /><Relationship Type="http://schemas.microsoft.com/office/2011/relationships/commentsExtended" Target="commentsExtended.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1153212/https://www.argentina.gob.ar/normativa/nacional/resoluci&#243;n-363-2021-358905/texto" TargetMode="External" Id="rId22" /><Relationship Type="http://schemas.microsoft.com/office/2011/relationships/people" Target="people.xml" Id="rId2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documenttasks/documenttasks1.xml><?xml version="1.0" encoding="utf-8"?>
<t:Tasks xmlns:t="http://schemas.microsoft.com/office/tasks/2019/documenttasks" xmlns:oel="http://schemas.microsoft.com/office/2019/extlst">
  <t:Task id="{8C20A7B2-84CF-6248-A674-E4BA7B05A686}">
    <t:Anchor>
      <t:Comment id="104483831"/>
    </t:Anchor>
    <t:History>
      <t:Event id="{ECB1D752-607A-2746-A7E1-B673A665FFF0}" time="2025-07-01T15:22:40.56Z">
        <t:Attribution userId="S::fmarcelli@beccarvarela.com::39e47ff5-e4fb-4ac9-ad82-f4a7e957c25b" userProvider="AD" userName="Florencia Marcelli"/>
        <t:Anchor>
          <t:Comment id="104483831"/>
        </t:Anchor>
        <t:Create/>
      </t:Event>
      <t:Event id="{8A96A075-92DD-F84F-A021-E4D867C37AC5}" time="2025-07-01T15:22:40.56Z">
        <t:Attribution userId="S::fmarcelli@beccarvarela.com::39e47ff5-e4fb-4ac9-ad82-f4a7e957c25b" userProvider="AD" userName="Florencia Marcelli"/>
        <t:Anchor>
          <t:Comment id="104483831"/>
        </t:Anchor>
        <t:Assign userId="S::mfravega@beccarvarela.com::6a6538e4-ab5e-4045-8c0a-0c526e21d7d9" userProvider="AD" userName="Manuel Frávega"/>
      </t:Event>
      <t:Event id="{0F4C7E05-6B74-8848-B20E-75CBB8916AE2}" time="2025-07-01T15:22:40.56Z">
        <t:Attribution userId="S::fmarcelli@beccarvarela.com::39e47ff5-e4fb-4ac9-ad82-f4a7e957c25b" userProvider="AD" userName="Florencia Marcelli"/>
        <t:Anchor>
          <t:Comment id="104483831"/>
        </t:Anchor>
        <t:SetTitle title="@Manuel Frávega idem."/>
      </t:Event>
    </t:History>
  </t:Task>
  <t:Task id="{90B1A638-C96C-CF4E-8609-2D076FA463EE}">
    <t:Anchor>
      <t:Comment id="246228591"/>
    </t:Anchor>
    <t:History>
      <t:Event id="{1508A911-34E9-7A4E-97B4-FD5D826E8B20}" time="2025-07-01T15:21:52.735Z">
        <t:Attribution userId="S::fmarcelli@beccarvarela.com::39e47ff5-e4fb-4ac9-ad82-f4a7e957c25b" userProvider="AD" userName="Florencia Marcelli"/>
        <t:Anchor>
          <t:Comment id="246228591"/>
        </t:Anchor>
        <t:Create/>
      </t:Event>
      <t:Event id="{74B400A0-5D1C-C347-BD6D-34E6E3CB58F2}" time="2025-07-01T15:21:52.735Z">
        <t:Attribution userId="S::fmarcelli@beccarvarela.com::39e47ff5-e4fb-4ac9-ad82-f4a7e957c25b" userProvider="AD" userName="Florencia Marcelli"/>
        <t:Anchor>
          <t:Comment id="246228591"/>
        </t:Anchor>
        <t:Assign userId="S::mfravega@beccarvarela.com::6a6538e4-ab5e-4045-8c0a-0c526e21d7d9" userProvider="AD" userName="Manuel Frávega"/>
      </t:Event>
      <t:Event id="{FBF7B989-CAC8-7B44-B19E-01A8E1634915}" time="2025-07-01T15:21:52.735Z">
        <t:Attribution userId="S::fmarcelli@beccarvarela.com::39e47ff5-e4fb-4ac9-ad82-f4a7e957c25b" userProvider="AD" userName="Florencia Marcelli"/>
        <t:Anchor>
          <t:Comment id="246228591"/>
        </t:Anchor>
        <t:SetTitle title="@Manuel Frávega pf confirmar"/>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B987AAA-0F67-4562-AEE1-42CF4F309740}"/>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 ds:uri="b52eb706-a9b7-4441-b432-24bdc119c495"/>
    <ds:schemaRef ds:uri="860fd844-3fbd-4b23-8e78-b7b4d9b2c3b1"/>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83</cp:revision>
  <cp:lastPrinted>2025-03-21T00:14:00Z</cp:lastPrinted>
  <dcterms:created xsi:type="dcterms:W3CDTF">2025-05-19T11:33:00Z</dcterms:created>
  <dcterms:modified xsi:type="dcterms:W3CDTF">2025-07-07T19:16:27Z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